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CDF" w:rsidRPr="00F54BBA" w:rsidRDefault="005D0CDF" w:rsidP="005D0CDF">
      <w:pPr>
        <w:pStyle w:val="Identificao"/>
        <w:rPr>
          <w:b/>
          <w:bCs/>
          <w:u w:val="single"/>
        </w:rPr>
      </w:pPr>
      <w:r w:rsidRPr="00F54BBA">
        <w:rPr>
          <w:b/>
          <w:bCs/>
          <w:u w:val="single"/>
        </w:rPr>
        <w:t>EMBARGOS DE DECLARAÇÃO NA APELAÇÃO CRIMINAL N. 0000629-43.2019.4.01.3815/MG</w:t>
      </w:r>
    </w:p>
    <w:p w:rsidR="005D0CDF" w:rsidRDefault="005D0CDF" w:rsidP="005D0CDF">
      <w:pPr>
        <w:pStyle w:val="centralizar"/>
        <w:spacing w:before="600"/>
      </w:pPr>
      <w:r>
        <w:t>VOTO VENCEDOR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Consoante relatado</w:t>
      </w:r>
      <w:proofErr w:type="gramStart"/>
      <w:r>
        <w:rPr>
          <w:rFonts w:cs="Arial"/>
          <w:szCs w:val="22"/>
        </w:rPr>
        <w:t>, trata-se</w:t>
      </w:r>
      <w:proofErr w:type="gramEnd"/>
      <w:r>
        <w:rPr>
          <w:rFonts w:cs="Arial"/>
          <w:szCs w:val="22"/>
        </w:rPr>
        <w:t xml:space="preserve"> de embargos de declaração opostos pela Defensoria Pública da União - DPU, em favor do réu </w:t>
      </w:r>
      <w:r w:rsidRPr="00775D32">
        <w:rPr>
          <w:rFonts w:cs="Arial"/>
          <w:b/>
          <w:bCs/>
          <w:szCs w:val="22"/>
        </w:rPr>
        <w:t>Sebastião Batista do Nascimento</w:t>
      </w:r>
      <w:r>
        <w:rPr>
          <w:rFonts w:cs="Arial"/>
          <w:b/>
          <w:bCs/>
          <w:szCs w:val="22"/>
        </w:rPr>
        <w:t xml:space="preserve"> </w:t>
      </w:r>
      <w:r w:rsidRPr="00F1456F">
        <w:rPr>
          <w:rFonts w:cs="Arial"/>
          <w:szCs w:val="22"/>
        </w:rPr>
        <w:t>(nascido em 25/04/1935, fl. 2</w:t>
      </w:r>
      <w:r>
        <w:rPr>
          <w:rFonts w:cs="Arial"/>
          <w:szCs w:val="22"/>
        </w:rPr>
        <w:t>-</w:t>
      </w:r>
      <w:r w:rsidRPr="00F1456F">
        <w:rPr>
          <w:rFonts w:cs="Arial"/>
          <w:szCs w:val="22"/>
        </w:rPr>
        <w:t>A), contra acórdão que negou provimento à apelaç</w:t>
      </w:r>
      <w:r>
        <w:rPr>
          <w:rFonts w:cs="Arial"/>
          <w:szCs w:val="22"/>
        </w:rPr>
        <w:t>ão da defesa</w:t>
      </w:r>
      <w:r w:rsidRPr="00F1456F">
        <w:rPr>
          <w:rFonts w:cs="Arial"/>
          <w:szCs w:val="22"/>
        </w:rPr>
        <w:t xml:space="preserve">, confirmando a condenação imposta ao acusado </w:t>
      </w:r>
      <w:r>
        <w:rPr>
          <w:rFonts w:cs="Arial"/>
          <w:szCs w:val="22"/>
        </w:rPr>
        <w:t xml:space="preserve">pela prática do delito tipificado no art. 171, § 3º, c/c art. 14, II e parágrafo único, todos do Código Penal, por cinco vezes, em continuidade delitiva, à pena definitiva de 01 (um) ano, 02 (dois) meses e 06 (seis) dias de reclusão, substituída por duas restritivas de direitos, e ao pagamento de 10 (dez) dias-multa. </w:t>
      </w:r>
    </w:p>
    <w:p w:rsidR="005D0CDF" w:rsidRDefault="005D0CDF" w:rsidP="005D0CDF">
      <w:pPr>
        <w:pStyle w:val="Pargrafo"/>
        <w:rPr>
          <w:rFonts w:cs="Arial"/>
          <w:color w:val="000000"/>
          <w:lang w:val="pt-PT"/>
        </w:rPr>
      </w:pPr>
      <w:r>
        <w:rPr>
          <w:rFonts w:cs="Arial"/>
          <w:color w:val="000000"/>
          <w:lang w:val="pt-PT"/>
        </w:rPr>
        <w:t xml:space="preserve">O eminente relator, Desembargador Federal Cândido Ribeiro, proferiu voto (fls. 582/586) conhecendo e acolhendo os embargos de declaração opostos por Sebastião Batista do Nascimento para decretar a extinção da punibilidade, mediante o reconhecimento da prescrição da pretensão punitiva pela pena </w:t>
      </w:r>
      <w:r w:rsidRPr="00851EFA">
        <w:rPr>
          <w:rFonts w:cs="Arial"/>
          <w:i/>
          <w:iCs/>
          <w:color w:val="000000"/>
          <w:lang w:val="pt-PT"/>
        </w:rPr>
        <w:t>in concreto</w:t>
      </w:r>
      <w:r>
        <w:rPr>
          <w:rFonts w:cs="Arial"/>
          <w:color w:val="000000"/>
          <w:lang w:val="pt-PT"/>
        </w:rPr>
        <w:t>, nos termos dos arts. 107, IV, 109, VI, 115, 110, § 1º, e 112, I, todos do CP, c/c art. 61 do CPP, ao fundamento, em resumo, de que o termo inicial do prazo prescricional após a prolação da sentença condenatória começa a fluir com o trânsito em julgado para a acusação (CP, art. 112, I), sendo que “o acórdão confirmatório da sentença não constitui marco interruptivo da prescrição, ainda que modifique a pena imposta” (AgRg no AgRg no Resp 1761846/SP, Rel. Ministro Ribeiro Dantas, Quinta Turma, Dje 04/06/2019).</w:t>
      </w:r>
    </w:p>
    <w:p w:rsidR="005D0CDF" w:rsidRDefault="005D0CDF" w:rsidP="005D0CDF">
      <w:pPr>
        <w:pStyle w:val="Pargrafo"/>
        <w:rPr>
          <w:rFonts w:cs="Arial"/>
          <w:color w:val="000000"/>
          <w:lang w:val="pt-PT"/>
        </w:rPr>
      </w:pPr>
      <w:r>
        <w:rPr>
          <w:rFonts w:cs="Arial"/>
          <w:color w:val="000000"/>
          <w:lang w:val="pt-PT"/>
        </w:rPr>
        <w:t>Conforme notas taquigráficas exaradas na sessão de julgamento de 13/07/2021 (fl. 587), este revisor proferiu voto divergente, entendendo que deve ser aplicado ao caso o precedente do Supremo Tribunal Federal no HC 176.473/RR, no sentido de que o acórdão que confirma a sentença condenatória interrompe a prescrição</w:t>
      </w:r>
    </w:p>
    <w:p w:rsidR="005D0CDF" w:rsidRDefault="005D0CDF" w:rsidP="005D0CDF">
      <w:pPr>
        <w:pStyle w:val="Pargrafo"/>
        <w:rPr>
          <w:rFonts w:cs="Arial"/>
          <w:color w:val="000000"/>
          <w:lang w:val="pt-PT"/>
        </w:rPr>
      </w:pPr>
      <w:r>
        <w:rPr>
          <w:rFonts w:cs="Arial"/>
          <w:color w:val="000000"/>
          <w:lang w:val="pt-PT"/>
        </w:rPr>
        <w:t xml:space="preserve">O eminente relator convocado, Juiz Federal Saulo Casali Bahia, apresentou voto-vista acompanhando a divergência apontada (fl. 589), também reconhecendo que, “como indicado pelo MPF, nesta instância, com o advento da Lei 11.596/2007, esse cenário mudou, pois o art. 117, IV, do Código Penal, foi alterado para instituir o acórdão condenatório, como causa interruptiva da prescrição, de maneira que qualquer acórdão condenatório, seja ele confirmatório ou não, passou a ter o efeito de interromper a prescrição”. </w:t>
      </w:r>
    </w:p>
    <w:p w:rsidR="005D0CDF" w:rsidRDefault="005D0CDF" w:rsidP="005D0CDF">
      <w:pPr>
        <w:pStyle w:val="Pargrafo"/>
        <w:rPr>
          <w:rFonts w:cs="Arial"/>
          <w:color w:val="000000"/>
          <w:lang w:val="pt-PT"/>
        </w:rPr>
      </w:pPr>
      <w:r>
        <w:rPr>
          <w:rFonts w:cs="Arial"/>
          <w:color w:val="000000"/>
          <w:lang w:val="pt-PT"/>
        </w:rPr>
        <w:t xml:space="preserve">Consignou o relator convocado que esse entendimento foi chancelado pelo STF, por meio de Repercussão Geral no HC 176.473, e passou o mesmo a ser seguido, após, pelo Superior Tribunal de Justiça (vide, AgRg no Resp 1193594/ES, Rel. Ministro Antonio Saldanha Palheiro, Sexta Turma, julgado em 16/03/2021, Dje 26/03/2021). Manifestando-se de acordo com o voto divergente do revisor, rejeitou os embargos de declaração, por não reconhecer a ocorrência de prescrição e verificar a ausência de requisitos para o acolhimento dos aclaratórios.  </w:t>
      </w:r>
    </w:p>
    <w:p w:rsidR="005D0CDF" w:rsidRDefault="005D0CDF" w:rsidP="005D0CDF">
      <w:pPr>
        <w:pStyle w:val="Pargrafo"/>
        <w:rPr>
          <w:rFonts w:cs="Arial"/>
          <w:i/>
          <w:szCs w:val="22"/>
        </w:rPr>
      </w:pPr>
      <w:r>
        <w:rPr>
          <w:rFonts w:cs="Arial"/>
          <w:color w:val="000000"/>
          <w:lang w:val="pt-PT"/>
        </w:rPr>
        <w:t xml:space="preserve">Pois bem. </w:t>
      </w:r>
      <w:r>
        <w:rPr>
          <w:rFonts w:cs="Arial"/>
          <w:szCs w:val="22"/>
        </w:rPr>
        <w:t xml:space="preserve">A defesa requer o acolhimento dos presentes embargos para que seja declarada a extinção da punibilidade do réu pela prescrição, sob o fundamento de que entre a data da publicação da sentença condenatória até </w:t>
      </w:r>
      <w:proofErr w:type="gramStart"/>
      <w:r>
        <w:rPr>
          <w:rFonts w:cs="Arial"/>
          <w:szCs w:val="22"/>
        </w:rPr>
        <w:t>a “presente</w:t>
      </w:r>
      <w:proofErr w:type="gramEnd"/>
      <w:r>
        <w:rPr>
          <w:rFonts w:cs="Arial"/>
          <w:szCs w:val="22"/>
        </w:rPr>
        <w:t xml:space="preserve"> data”, foi ultrapassado o período interstício de 01 (um) ano e 06 (seis) meses para o Estado exercer o direito de punir penalmente, posto que, segundo seu entendimento, o acórdão confirmatório da sentença não interrompe o prazo prescricional.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lastRenderedPageBreak/>
        <w:t>Os embargos de declaração têm por objetivo suprir obscuridade, contradição, ambiguidade ou omissão, não se prestando a rediscutir a causa nos mesmos moldes antes propostos, ou seja, não constituem meio processual idôneo para que a parte demonstre sua discordância com o julgado recorrido.</w:t>
      </w:r>
    </w:p>
    <w:p w:rsidR="005D0CDF" w:rsidRDefault="005D0CDF" w:rsidP="005D0CDF">
      <w:pPr>
        <w:pStyle w:val="Pargrafo"/>
        <w:rPr>
          <w:rFonts w:cs="Arial"/>
          <w:bCs/>
          <w:szCs w:val="22"/>
        </w:rPr>
      </w:pPr>
      <w:r>
        <w:rPr>
          <w:rFonts w:cs="Arial"/>
          <w:szCs w:val="22"/>
        </w:rPr>
        <w:t>Na hipótese, não se pode falar em vício, eis que não configurada nenhuma das hipóteses previstas no art. 619 do Código de Processo Penal</w:t>
      </w:r>
      <w:r>
        <w:rPr>
          <w:rFonts w:cs="Arial"/>
          <w:bCs/>
          <w:szCs w:val="22"/>
        </w:rPr>
        <w:t>. Todavia, a teor do art. 61 do Código de Processo Penal, a prescrição deve ser reconhecida em qualquer grau de jurisdição.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A prescrição, por ser matéria de ordem pública, deve ser declarada no momento em que </w:t>
      </w:r>
      <w:proofErr w:type="gramStart"/>
      <w:r>
        <w:rPr>
          <w:rFonts w:cs="Arial"/>
          <w:szCs w:val="22"/>
        </w:rPr>
        <w:t>ocorrer,</w:t>
      </w:r>
      <w:proofErr w:type="gramEnd"/>
      <w:r>
        <w:rPr>
          <w:rFonts w:cs="Arial"/>
          <w:szCs w:val="22"/>
        </w:rPr>
        <w:t xml:space="preserve"> em qualquer fase do processo, nos termos do art. 61 do CPP, inclusive em sede de embargos de declaração (TRF1, EDACR 0014735-43.2010.4.01.4100/RO, Rel. Desembargador Federal Olindo Menezes, Quarta Turma, 09/09/2016 e-DJF1).</w:t>
      </w:r>
    </w:p>
    <w:p w:rsidR="005D0CDF" w:rsidRDefault="005D0CDF" w:rsidP="005D0CDF">
      <w:pPr>
        <w:pStyle w:val="Pargrafo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O entendimento jurisprudencial consolidado no STJ até então era no sentido de que o acórdão confirmatório da sentença condenatória, ainda que modifique a pena aplicada, não é considerado marco interruptivo da prescrição da pretensão punitiva.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Contudo, o Supremo Tribunal Federal fixou tese em sentido contrário.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Com efeito, em julgamento do Plenário do STF, ocorrido em </w:t>
      </w:r>
      <w:r>
        <w:rPr>
          <w:rFonts w:cs="Arial"/>
          <w:szCs w:val="22"/>
          <w:u w:val="single"/>
        </w:rPr>
        <w:t>27/04/2020</w:t>
      </w:r>
      <w:r>
        <w:rPr>
          <w:rFonts w:cs="Arial"/>
          <w:szCs w:val="22"/>
        </w:rPr>
        <w:t xml:space="preserve">, no Habeas Corpus 176.473/RR, foi </w:t>
      </w:r>
      <w:proofErr w:type="gramStart"/>
      <w:r>
        <w:rPr>
          <w:rFonts w:cs="Arial"/>
          <w:szCs w:val="22"/>
        </w:rPr>
        <w:t>fixada</w:t>
      </w:r>
      <w:proofErr w:type="gramEnd"/>
      <w:r>
        <w:rPr>
          <w:rFonts w:cs="Arial"/>
          <w:szCs w:val="22"/>
        </w:rPr>
        <w:t xml:space="preserve"> tese no sentido de que, "nos termos do inciso IV do artigo 117 do Código Penal, o acórdão condenatório sempre interrompe a prescrição, inclusive quando confirmatório da sentença de 1º grau, seja mantendo, reduzindo ou aumentando a pena anteriormente imposta".</w:t>
      </w:r>
    </w:p>
    <w:p w:rsidR="005D0CDF" w:rsidRDefault="005D0CDF" w:rsidP="005D0CDF">
      <w:pPr>
        <w:pStyle w:val="Pargraf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No caso, </w:t>
      </w:r>
      <w:r>
        <w:rPr>
          <w:rFonts w:cs="Arial"/>
          <w:szCs w:val="22"/>
          <w:u w:val="single"/>
        </w:rPr>
        <w:t>o</w:t>
      </w:r>
      <w:r>
        <w:rPr>
          <w:rFonts w:cs="Arial"/>
          <w:szCs w:val="22"/>
          <w:u w:val="single"/>
          <w:shd w:val="clear" w:color="auto" w:fill="FFFFFF"/>
        </w:rPr>
        <w:t xml:space="preserve"> novel entendimento deve ser prestigiado, considerando-se </w:t>
      </w:r>
      <w:r>
        <w:rPr>
          <w:rFonts w:cs="Arial"/>
          <w:szCs w:val="22"/>
          <w:u w:val="single"/>
        </w:rPr>
        <w:t xml:space="preserve">o acórdão condenatório como nova interrupção do prazo prescricional. </w:t>
      </w:r>
    </w:p>
    <w:p w:rsidR="005D0CDF" w:rsidRDefault="005D0CDF" w:rsidP="005D0CDF">
      <w:pPr>
        <w:pStyle w:val="Pargrafo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</w:rPr>
        <w:t xml:space="preserve">Por outro lado, considera-se publicado o acórdão na data da sessão de julgamento, portanto, a </w:t>
      </w:r>
      <w:r>
        <w:rPr>
          <w:rFonts w:cs="Arial"/>
          <w:szCs w:val="22"/>
          <w:shd w:val="clear" w:color="auto" w:fill="FFFFFF"/>
        </w:rPr>
        <w:t>prescrição da pretensão punitiva estatal, em segundo grau de jurisdição, se interrompe na data da sessão de julgamento do recurso, e não na data da publicação do acórdão no órgão oficial.</w:t>
      </w:r>
    </w:p>
    <w:p w:rsidR="005D0CDF" w:rsidRDefault="005D0CDF" w:rsidP="005D0CDF">
      <w:pPr>
        <w:pStyle w:val="Pargrafo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>Segundo a pacífica jurisprudência do STF, “nos julgamentos colegiados, ‘o marco interruptivo do prazo prescricional previsto no artigo 117, IV, do Código Penal, mesmo com a redação que lhe conferiu a Lei 11.596/2007, é o da data da sessão de julgamento’ (AP nº 409/</w:t>
      </w:r>
      <w:proofErr w:type="spellStart"/>
      <w:r>
        <w:rPr>
          <w:rFonts w:cs="Arial"/>
          <w:szCs w:val="22"/>
          <w:shd w:val="clear" w:color="auto" w:fill="FFFFFF"/>
        </w:rPr>
        <w:t>CE-AgR-segundo</w:t>
      </w:r>
      <w:proofErr w:type="spellEnd"/>
      <w:r>
        <w:rPr>
          <w:rFonts w:cs="Arial"/>
          <w:szCs w:val="22"/>
          <w:shd w:val="clear" w:color="auto" w:fill="FFFFFF"/>
        </w:rPr>
        <w:t xml:space="preserve">, Tribunal Pleno, Relator o Ministro </w:t>
      </w:r>
      <w:proofErr w:type="spellStart"/>
      <w:r>
        <w:rPr>
          <w:rFonts w:cs="Arial"/>
          <w:szCs w:val="22"/>
          <w:shd w:val="clear" w:color="auto" w:fill="FFFFFF"/>
        </w:rPr>
        <w:t>Teori</w:t>
      </w:r>
      <w:proofErr w:type="spellEnd"/>
      <w:r>
        <w:rPr>
          <w:rFonts w:cs="Arial"/>
          <w:szCs w:val="22"/>
          <w:shd w:val="clear" w:color="auto" w:fill="FFFFFF"/>
        </w:rPr>
        <w:t xml:space="preserve"> Zavascki, </w:t>
      </w:r>
      <w:proofErr w:type="spellStart"/>
      <w:proofErr w:type="gramStart"/>
      <w:r>
        <w:rPr>
          <w:rFonts w:cs="Arial"/>
          <w:szCs w:val="22"/>
          <w:shd w:val="clear" w:color="auto" w:fill="FFFFFF"/>
        </w:rPr>
        <w:t>DJe</w:t>
      </w:r>
      <w:proofErr w:type="spellEnd"/>
      <w:proofErr w:type="gramEnd"/>
      <w:r>
        <w:rPr>
          <w:rFonts w:cs="Arial"/>
          <w:szCs w:val="22"/>
          <w:shd w:val="clear" w:color="auto" w:fill="FFFFFF"/>
        </w:rPr>
        <w:t xml:space="preserve"> de 28/10/13)”.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Verifica-se que houve o trânsito em julgado para a acusação (fl. 527-v), uma vez que, cientificado da </w:t>
      </w:r>
      <w:r w:rsidRPr="00500599">
        <w:rPr>
          <w:rFonts w:cs="Arial"/>
          <w:szCs w:val="22"/>
        </w:rPr>
        <w:t>sentença, o Ministério</w:t>
      </w:r>
      <w:r>
        <w:rPr>
          <w:rFonts w:cs="Arial"/>
          <w:szCs w:val="22"/>
        </w:rPr>
        <w:t xml:space="preserve"> Público Federal não recorreu.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 xml:space="preserve">No presente caso, o acórdão embargado confirmou a sentença que condenou o acusado pela prática do delito tipificado no art. 171, § 3º, c/c art. 14, II e parágrafo único, todos do Código Penal, por 05 (cinco) vezes, em continuidade delitiva, à pena definitiva de </w:t>
      </w:r>
      <w:proofErr w:type="gramStart"/>
      <w:r>
        <w:rPr>
          <w:rFonts w:cs="Arial"/>
          <w:szCs w:val="22"/>
        </w:rPr>
        <w:t>01 (um) ano, 02 (dois)</w:t>
      </w:r>
      <w:proofErr w:type="gramEnd"/>
      <w:r>
        <w:rPr>
          <w:rFonts w:cs="Arial"/>
          <w:szCs w:val="22"/>
        </w:rPr>
        <w:t xml:space="preserve"> meses e 06 (seis) dias de reclusão, substituída por duas restritivas de direitos, e ao pagamento de 10 (dez) dias-multa. </w:t>
      </w:r>
    </w:p>
    <w:p w:rsidR="005D0CDF" w:rsidRDefault="005D0CDF" w:rsidP="005D0CDF">
      <w:pPr>
        <w:pStyle w:val="Pargrafo"/>
      </w:pPr>
      <w:r>
        <w:t xml:space="preserve">Considerando que não houve interposição de recurso pela acusação, a prescrição regula-se pela pena em concreto, ou seja, pelo montante de pena imposta na sentença, conforme dispõe o art. 110, § 1º, do Código Penal. </w:t>
      </w:r>
    </w:p>
    <w:p w:rsidR="005D0CDF" w:rsidRDefault="005D0CDF" w:rsidP="005D0CDF">
      <w:pPr>
        <w:pStyle w:val="Pargrafo"/>
      </w:pPr>
      <w:r w:rsidRPr="00F72049">
        <w:t xml:space="preserve">Como visto, a pena foi fixada em </w:t>
      </w:r>
      <w:proofErr w:type="gramStart"/>
      <w:r>
        <w:t>01 (um) ano, 02 (dois)</w:t>
      </w:r>
      <w:proofErr w:type="gramEnd"/>
      <w:r>
        <w:t xml:space="preserve"> meses e 06 (seis) dias</w:t>
      </w:r>
      <w:r w:rsidRPr="00F72049">
        <w:t xml:space="preserve"> de reclusão, porém, para efeito de cálculo de prescrição, deve ser considerada a pena de </w:t>
      </w:r>
      <w:r>
        <w:t>10 (dez) meses e 20 (vinte) dias</w:t>
      </w:r>
      <w:r w:rsidRPr="00F72049">
        <w:t xml:space="preserve"> de reclusão</w:t>
      </w:r>
      <w:r>
        <w:t xml:space="preserve"> </w:t>
      </w:r>
      <w:r w:rsidRPr="00F72049">
        <w:t xml:space="preserve">– abatido o </w:t>
      </w:r>
      <w:r w:rsidRPr="00F72049">
        <w:rPr>
          <w:i/>
        </w:rPr>
        <w:t>quantum</w:t>
      </w:r>
      <w:r w:rsidRPr="00F72049">
        <w:t xml:space="preserve"> relativo à continuidade delitiva (</w:t>
      </w:r>
      <w:r>
        <w:t>STF, S</w:t>
      </w:r>
      <w:r w:rsidRPr="009E2B0A">
        <w:t>úmula 497), que nos termos do art. 109, V</w:t>
      </w:r>
      <w:r>
        <w:t>I</w:t>
      </w:r>
      <w:r w:rsidRPr="009E2B0A">
        <w:t>, do C</w:t>
      </w:r>
      <w:r>
        <w:t>ódigo Penal</w:t>
      </w:r>
      <w:r w:rsidRPr="009E2B0A">
        <w:t>, prescreve em 0</w:t>
      </w:r>
      <w:r>
        <w:t>3</w:t>
      </w:r>
      <w:r w:rsidRPr="009E2B0A">
        <w:t xml:space="preserve"> (</w:t>
      </w:r>
      <w:r>
        <w:t>três</w:t>
      </w:r>
      <w:r w:rsidRPr="009E2B0A">
        <w:t xml:space="preserve">) anos. </w:t>
      </w:r>
    </w:p>
    <w:p w:rsidR="005D0CDF" w:rsidRPr="009E2B0A" w:rsidRDefault="005D0CDF" w:rsidP="005D0CDF">
      <w:pPr>
        <w:pStyle w:val="Pargrafo"/>
      </w:pPr>
      <w:r>
        <w:t xml:space="preserve">O réu, nascido em </w:t>
      </w:r>
      <w:r w:rsidRPr="003855B2">
        <w:t>25</w:t>
      </w:r>
      <w:r>
        <w:t>/04/1935 (fl. 2-A), de fato, possuía 70 (setenta) anos de idade na data da sentença, que foi proferida em 02/04/2019 (fl. 514-v), tendo direito à redução pela metade do prazo prescricional como estabelece o art. 115 do Código Penal.</w:t>
      </w:r>
    </w:p>
    <w:p w:rsidR="005D0CDF" w:rsidRDefault="005D0CDF" w:rsidP="005D0CDF">
      <w:pPr>
        <w:pStyle w:val="Pargrafo"/>
      </w:pPr>
      <w:r w:rsidRPr="001C5E39">
        <w:t xml:space="preserve">O delito de estelionato previdenciário, </w:t>
      </w:r>
      <w:r>
        <w:t>praticado pelo</w:t>
      </w:r>
      <w:r w:rsidRPr="001C5E39">
        <w:t xml:space="preserve"> </w:t>
      </w:r>
      <w:r>
        <w:t xml:space="preserve">próprio </w:t>
      </w:r>
      <w:r w:rsidRPr="001C5E39">
        <w:t>beneficiário, é delito permanente, de modo que o</w:t>
      </w:r>
      <w:r>
        <w:t xml:space="preserve"> lapso prescricional conta-se da data do último ato de recebimento do benefício. Para o terceiro, que concorreu para a obtenção do benefício mediante fraude, o delito é instantâneo de efeitos permanentes, de modo que a contagem da prescrição inicia-se na data em que foi concedido o benefício.</w:t>
      </w:r>
    </w:p>
    <w:p w:rsidR="005D0CDF" w:rsidRDefault="005D0CDF" w:rsidP="005D0CDF">
      <w:pPr>
        <w:pStyle w:val="Pargrafo"/>
      </w:pPr>
      <w:r w:rsidRPr="002263EF">
        <w:lastRenderedPageBreak/>
        <w:t xml:space="preserve">Da análise dos autos, verifica-se que </w:t>
      </w:r>
      <w:r>
        <w:t>o réu, em cinco ocasiões distintas, entre setembro/2013 e agosto/2014, auxiliando materialmente, participou de estelionato tentado contra o INSS, em continuidade delitiva</w:t>
      </w:r>
      <w:r w:rsidRPr="002263EF">
        <w:t xml:space="preserve"> (fl.</w:t>
      </w:r>
      <w:r>
        <w:t xml:space="preserve"> 2-C</w:t>
      </w:r>
      <w:r w:rsidRPr="002263EF">
        <w:t>)</w:t>
      </w:r>
      <w:r>
        <w:t xml:space="preserve">. </w:t>
      </w:r>
    </w:p>
    <w:p w:rsidR="005D0CDF" w:rsidRPr="002B46D0" w:rsidRDefault="005D0CDF" w:rsidP="005D0CDF">
      <w:pPr>
        <w:pStyle w:val="Pargrafo"/>
      </w:pPr>
      <w:r w:rsidRPr="002B46D0">
        <w:t>A Lei 12.234, de 05/05/2010, que alterou a matéria de prescrição no Código Penal e proibiu a utilização da dato do fato como termo inicial para fins de contagem de prescrição, aplica</w:t>
      </w:r>
      <w:r>
        <w:t>-se</w:t>
      </w:r>
      <w:r w:rsidRPr="002B46D0">
        <w:t xml:space="preserve"> ao presente caso eis que os fatos foram praticados </w:t>
      </w:r>
      <w:r>
        <w:t>posteriormente</w:t>
      </w:r>
      <w:r w:rsidRPr="002B46D0">
        <w:t xml:space="preserve"> à sua vigência.</w:t>
      </w:r>
    </w:p>
    <w:p w:rsidR="005D0CDF" w:rsidRDefault="005D0CDF" w:rsidP="005D0CDF">
      <w:pPr>
        <w:pStyle w:val="Pargrafo"/>
      </w:pPr>
      <w:r>
        <w:t>A</w:t>
      </w:r>
      <w:r w:rsidRPr="002263EF">
        <w:t xml:space="preserve"> denúncia foi recebida em </w:t>
      </w:r>
      <w:r>
        <w:t xml:space="preserve">27/07/2018 </w:t>
      </w:r>
      <w:r w:rsidRPr="002263EF">
        <w:t>(fl</w:t>
      </w:r>
      <w:r>
        <w:t>s</w:t>
      </w:r>
      <w:r w:rsidRPr="002263EF">
        <w:t xml:space="preserve">. </w:t>
      </w:r>
      <w:r>
        <w:t>336/338</w:t>
      </w:r>
      <w:r w:rsidRPr="002263EF">
        <w:t xml:space="preserve">); a sentença condenatória recorrível foi publicada, em secretaria, na data de </w:t>
      </w:r>
      <w:r>
        <w:t>03/04/2019</w:t>
      </w:r>
      <w:r w:rsidRPr="002263EF">
        <w:t xml:space="preserve"> (fl. </w:t>
      </w:r>
      <w:r>
        <w:t>515</w:t>
      </w:r>
      <w:r w:rsidRPr="002263EF">
        <w:t xml:space="preserve">); e o acórdão embargado proferido no dia </w:t>
      </w:r>
      <w:r w:rsidRPr="0039793A">
        <w:t>03/10/2020</w:t>
      </w:r>
      <w:r w:rsidRPr="002263EF">
        <w:t xml:space="preserve">; portanto, não se vislumbra o transcurso de </w:t>
      </w:r>
      <w:r>
        <w:t xml:space="preserve">lapso temporal superior </w:t>
      </w:r>
      <w:r w:rsidRPr="004F6D4D">
        <w:t xml:space="preserve">a </w:t>
      </w:r>
      <w:r>
        <w:t>01 (um) ano e 06 (seis) meses, que é o prazo aplicável, tendo em vista que o réu na data da sentença contava com mais de 70 (setenta) anos de idade.</w:t>
      </w:r>
    </w:p>
    <w:p w:rsidR="005D0CDF" w:rsidRDefault="005D0CDF" w:rsidP="005D0CDF">
      <w:pPr>
        <w:pStyle w:val="Pargrafo"/>
        <w:rPr>
          <w:i/>
        </w:rPr>
      </w:pPr>
      <w:bookmarkStart w:id="0" w:name="_Hlk94728253"/>
      <w:r>
        <w:t>Tendo em vista que não transcorreu mais de 01 (um) ano e 06 (seis) meses entre nenhum dos marcos interruptivos da prescrição, não se pode falar em prescrição da pretensão punitiva estatal.</w:t>
      </w:r>
    </w:p>
    <w:bookmarkEnd w:id="0"/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Ante o exposto, REJEITO os embargos de declaração.</w:t>
      </w:r>
    </w:p>
    <w:p w:rsidR="005D0CDF" w:rsidRDefault="005D0CDF" w:rsidP="005D0CDF">
      <w:pPr>
        <w:pStyle w:val="Pargrafo"/>
        <w:rPr>
          <w:rFonts w:cs="Arial"/>
          <w:szCs w:val="22"/>
        </w:rPr>
      </w:pPr>
      <w:r>
        <w:rPr>
          <w:rFonts w:cs="Arial"/>
          <w:szCs w:val="22"/>
        </w:rPr>
        <w:t>É como voto.</w:t>
      </w:r>
    </w:p>
    <w:p w:rsidR="005D0CDF" w:rsidRDefault="005D0CDF" w:rsidP="005D0CDF">
      <w:pPr>
        <w:pStyle w:val="Identificao"/>
      </w:pPr>
    </w:p>
    <w:p w:rsidR="005D0CDF" w:rsidRDefault="005D0CDF" w:rsidP="005D0CDF">
      <w:pPr>
        <w:pStyle w:val="Identificao"/>
      </w:pPr>
    </w:p>
    <w:p w:rsidR="005D0CDF" w:rsidRPr="00F97C64" w:rsidRDefault="005D0CDF" w:rsidP="005D0CDF">
      <w:pPr>
        <w:pStyle w:val="assinatura"/>
        <w:rPr>
          <w:rFonts w:eastAsia="MS Mincho"/>
          <w:b/>
          <w:bCs/>
        </w:rPr>
      </w:pPr>
      <w:r>
        <w:rPr>
          <w:rFonts w:eastAsia="MS Mincho"/>
        </w:rPr>
        <w:t xml:space="preserve">Juiz Federal </w:t>
      </w:r>
      <w:r w:rsidRPr="00F97C64">
        <w:rPr>
          <w:rFonts w:eastAsia="MS Mincho"/>
          <w:b/>
          <w:bCs/>
        </w:rPr>
        <w:t>ÉRICO RODRIGO FREITAS PINHEIRO</w:t>
      </w:r>
    </w:p>
    <w:p w:rsidR="005D0CDF" w:rsidRPr="00E01558" w:rsidRDefault="005D0CDF" w:rsidP="005D0CDF">
      <w:pPr>
        <w:pStyle w:val="assinatura"/>
      </w:pPr>
      <w:r>
        <w:rPr>
          <w:rFonts w:eastAsia="MS Mincho"/>
        </w:rPr>
        <w:t>Relator Convocado</w:t>
      </w:r>
    </w:p>
    <w:sectPr w:rsidR="005D0CDF" w:rsidRPr="00E01558" w:rsidSect="004554A7">
      <w:headerReference w:type="first" r:id="rId6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C2A" w:rsidRDefault="00EE6C2A" w:rsidP="005D0CDF">
      <w:pPr>
        <w:spacing w:after="0" w:line="240" w:lineRule="auto"/>
      </w:pPr>
      <w:r>
        <w:separator/>
      </w:r>
    </w:p>
  </w:endnote>
  <w:endnote w:type="continuationSeparator" w:id="0">
    <w:p w:rsidR="00EE6C2A" w:rsidRDefault="00EE6C2A" w:rsidP="005D0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C2A" w:rsidRDefault="00EE6C2A" w:rsidP="005D0CDF">
      <w:pPr>
        <w:spacing w:after="0" w:line="240" w:lineRule="auto"/>
      </w:pPr>
      <w:r>
        <w:separator/>
      </w:r>
    </w:p>
  </w:footnote>
  <w:footnote w:type="continuationSeparator" w:id="0">
    <w:p w:rsidR="00EE6C2A" w:rsidRDefault="00EE6C2A" w:rsidP="005D0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CDF" w:rsidRPr="00E01558" w:rsidRDefault="005D0CDF" w:rsidP="005D0CDF">
    <w:pPr>
      <w:jc w:val="right"/>
      <w:rPr>
        <w:rFonts w:ascii="Interleaved 2of5" w:hAnsi="Interleaved 2of5"/>
        <w:sz w:val="48"/>
      </w:rPr>
    </w:pPr>
    <w:r w:rsidRPr="00E01558">
      <w:rPr>
        <w:rFonts w:ascii="Interleaved 2of5" w:hAnsi="Interleaved 2of5"/>
        <w:sz w:val="48"/>
      </w:rPr>
      <w:t>(</w:t>
    </w:r>
    <w:proofErr w:type="gramStart"/>
    <w:r w:rsidRPr="00E01558">
      <w:rPr>
        <w:rFonts w:ascii="Interleaved 2of5" w:hAnsi="Interleaved 2of5"/>
        <w:sz w:val="48"/>
      </w:rPr>
      <w:t>ÌìP1ì1V</w:t>
    </w:r>
    <w:proofErr w:type="gramEnd"/>
    <w:r w:rsidRPr="00E01558">
      <w:rPr>
        <w:rFonts w:ascii="Interleaved 2of5" w:hAnsi="Interleaved 2of5"/>
        <w:sz w:val="48"/>
      </w:rPr>
      <w:t>?)</w:t>
    </w:r>
  </w:p>
  <w:p w:rsidR="005D0CDF" w:rsidRDefault="005D0CDF" w:rsidP="005D0CDF">
    <w:pPr>
      <w:spacing w:before="120"/>
      <w:rPr>
        <w:rFonts w:ascii="Arial" w:hAnsi="Arial"/>
        <w:sz w:val="16"/>
      </w:rPr>
    </w:pPr>
  </w:p>
  <w:p w:rsidR="005D0CDF" w:rsidRDefault="005D0CDF" w:rsidP="005D0CDF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D0CDF" w:rsidRDefault="005D0CDF" w:rsidP="005D0CDF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D0CDF" w:rsidRDefault="005D0CDF" w:rsidP="005D0CDF">
    <w:pPr>
      <w:jc w:val="center"/>
    </w:pPr>
    <w:r>
      <w:rPr>
        <w:rFonts w:ascii="Arial" w:hAnsi="Arial"/>
        <w:b/>
        <w:sz w:val="20"/>
      </w:rPr>
      <w:t>TRIBUNAL REGIONAL FEDERAL DA PRIMEIRA REGIÃO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0CDF"/>
    <w:rsid w:val="00017527"/>
    <w:rsid w:val="002F641C"/>
    <w:rsid w:val="005D0CDF"/>
    <w:rsid w:val="00636903"/>
    <w:rsid w:val="009E7F9F"/>
    <w:rsid w:val="00E648D8"/>
    <w:rsid w:val="00EE6C2A"/>
    <w:rsid w:val="00FE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1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Normal"/>
    <w:rsid w:val="005D0CDF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pt-BR"/>
    </w:rPr>
  </w:style>
  <w:style w:type="paragraph" w:customStyle="1" w:styleId="Pargrafo">
    <w:name w:val="Parágrafo"/>
    <w:basedOn w:val="Normal"/>
    <w:link w:val="PargrafoChar"/>
    <w:qFormat/>
    <w:rsid w:val="005D0CDF"/>
    <w:pPr>
      <w:spacing w:before="120" w:after="120" w:line="240" w:lineRule="auto"/>
      <w:ind w:firstLine="1418"/>
      <w:jc w:val="both"/>
    </w:pPr>
    <w:rPr>
      <w:rFonts w:ascii="Arial" w:eastAsia="Times New Roman" w:hAnsi="Arial" w:cs="Times New Roman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5D0CDF"/>
    <w:pPr>
      <w:spacing w:before="360" w:after="360"/>
      <w:ind w:firstLine="0"/>
      <w:jc w:val="center"/>
    </w:pPr>
    <w:rPr>
      <w:b/>
    </w:rPr>
  </w:style>
  <w:style w:type="paragraph" w:customStyle="1" w:styleId="assinatura">
    <w:name w:val="assinatura"/>
    <w:basedOn w:val="Pargrafo"/>
    <w:link w:val="assinaturaChar"/>
    <w:rsid w:val="005D0CDF"/>
    <w:pPr>
      <w:spacing w:before="0" w:after="0"/>
      <w:ind w:firstLine="0"/>
      <w:jc w:val="center"/>
    </w:pPr>
  </w:style>
  <w:style w:type="character" w:customStyle="1" w:styleId="PargrafoChar">
    <w:name w:val="Parágrafo Char"/>
    <w:basedOn w:val="Fontepargpadro"/>
    <w:link w:val="Pargrafo"/>
    <w:locked/>
    <w:rsid w:val="005D0CDF"/>
    <w:rPr>
      <w:rFonts w:ascii="Arial" w:eastAsia="Times New Roman" w:hAnsi="Arial" w:cs="Times New Roman"/>
      <w:szCs w:val="24"/>
      <w:lang w:eastAsia="pt-BR"/>
    </w:rPr>
  </w:style>
  <w:style w:type="character" w:customStyle="1" w:styleId="assinaturaChar">
    <w:name w:val="assinatura Char"/>
    <w:basedOn w:val="Fontepargpadro"/>
    <w:link w:val="assinatura"/>
    <w:locked/>
    <w:rsid w:val="005D0CDF"/>
    <w:rPr>
      <w:rFonts w:ascii="Arial" w:eastAsia="Times New Roman" w:hAnsi="Arial" w:cs="Times New Roman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0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0CDF"/>
  </w:style>
  <w:style w:type="paragraph" w:styleId="Rodap">
    <w:name w:val="footer"/>
    <w:basedOn w:val="Normal"/>
    <w:link w:val="RodapChar"/>
    <w:uiPriority w:val="99"/>
    <w:semiHidden/>
    <w:unhideWhenUsed/>
    <w:rsid w:val="005D0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0CDF"/>
  </w:style>
  <w:style w:type="paragraph" w:styleId="Textodebalo">
    <w:name w:val="Balloon Text"/>
    <w:basedOn w:val="Normal"/>
    <w:link w:val="TextodebaloChar"/>
    <w:uiPriority w:val="99"/>
    <w:semiHidden/>
    <w:unhideWhenUsed/>
    <w:rsid w:val="005D0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1359</Words>
  <Characters>7344</Characters>
  <Application>Microsoft Office Word</Application>
  <DocSecurity>0</DocSecurity>
  <Lines>61</Lines>
  <Paragraphs>17</Paragraphs>
  <ScaleCrop>false</ScaleCrop>
  <Company/>
  <LinksUpToDate>false</LinksUpToDate>
  <CharactersWithSpaces>8686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tr17268ps</dc:creator>
  <cp:lastModifiedBy>tr17268ps</cp:lastModifiedBy>
  <cp:revision>1</cp:revision>
  <dcterms:created xsi:type="dcterms:W3CDTF">2022-03-03T17:26:00Z</dcterms:created>
  <dcterms:modified xsi:type="dcterms:W3CDTF">2022-03-03T17:27:00Z</dcterms:modified>
</cp:coreProperties>
</file>