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558" w:rsidRDefault="00E01558" w:rsidP="00432FBE">
      <w:pPr>
        <w:pStyle w:val="TextosemFormatao"/>
        <w:rPr>
          <w:rFonts w:ascii="Courier New" w:hAnsi="Courier New" w:cs="Courier New"/>
        </w:rPr>
      </w:pPr>
    </w:p>
    <w:p w:rsidR="00E01558" w:rsidRPr="00F54BBA" w:rsidRDefault="00F54BBA" w:rsidP="00E01558">
      <w:pPr>
        <w:pStyle w:val="Identificao"/>
        <w:rPr>
          <w:b/>
          <w:bCs/>
          <w:u w:val="single"/>
        </w:rPr>
      </w:pPr>
      <w:r w:rsidRPr="00F54BBA">
        <w:rPr>
          <w:b/>
          <w:bCs/>
          <w:u w:val="single"/>
        </w:rPr>
        <w:t xml:space="preserve">EMBARGOS DE DECLARAÇÃO NA </w:t>
      </w:r>
      <w:r w:rsidR="00E01558" w:rsidRPr="00F54BBA">
        <w:rPr>
          <w:b/>
          <w:bCs/>
          <w:u w:val="single"/>
        </w:rPr>
        <w:t>APELAÇÃO CRIMINAL</w:t>
      </w:r>
      <w:r w:rsidRPr="00F54BBA">
        <w:rPr>
          <w:b/>
          <w:bCs/>
          <w:u w:val="single"/>
        </w:rPr>
        <w:t xml:space="preserve"> N.</w:t>
      </w:r>
      <w:r w:rsidR="00E01558" w:rsidRPr="00F54BBA">
        <w:rPr>
          <w:b/>
          <w:bCs/>
          <w:u w:val="single"/>
        </w:rPr>
        <w:t xml:space="preserve"> 0000629-43.2019.4.01.3815/MG</w:t>
      </w:r>
    </w:p>
    <w:p w:rsidR="00E01558" w:rsidRPr="00432FBE" w:rsidRDefault="00E01558" w:rsidP="00E01558">
      <w:pPr>
        <w:pStyle w:val="Identificao"/>
      </w:pPr>
      <w:r w:rsidRPr="00432FBE">
        <w:t>Processo na Origem: 6294320194013815</w:t>
      </w:r>
    </w:p>
    <w:p w:rsidR="00E01558" w:rsidRDefault="00E01558" w:rsidP="00E01558">
      <w:pPr>
        <w:pStyle w:val="Identificao"/>
      </w:pPr>
    </w:p>
    <w:tbl>
      <w:tblPr>
        <w:tblW w:w="9900" w:type="dxa"/>
        <w:tblLayout w:type="fixed"/>
        <w:tblCellMar>
          <w:left w:w="70" w:type="dxa"/>
          <w:right w:w="70" w:type="dxa"/>
        </w:tblCellMar>
        <w:tblLook w:val="0000"/>
      </w:tblPr>
      <w:tblGrid>
        <w:gridCol w:w="2000"/>
        <w:gridCol w:w="300"/>
        <w:gridCol w:w="7600"/>
      </w:tblGrid>
      <w:tr w:rsidR="00E01558" w:rsidRPr="00E01558" w:rsidTr="00E01558">
        <w:tc>
          <w:tcPr>
            <w:tcW w:w="2000" w:type="dxa"/>
            <w:shd w:val="clear" w:color="auto" w:fill="auto"/>
          </w:tcPr>
          <w:p w:rsidR="00E01558" w:rsidRPr="00E01558" w:rsidRDefault="00E01558" w:rsidP="00E01558">
            <w:pPr>
              <w:pStyle w:val="Identificao"/>
            </w:pPr>
            <w:r w:rsidRPr="00E01558">
              <w:t>RELATOR(A)</w:t>
            </w:r>
          </w:p>
        </w:tc>
        <w:tc>
          <w:tcPr>
            <w:tcW w:w="300" w:type="dxa"/>
            <w:shd w:val="clear" w:color="auto" w:fill="auto"/>
          </w:tcPr>
          <w:p w:rsidR="00E01558" w:rsidRPr="00E01558" w:rsidRDefault="00E01558" w:rsidP="00E01558">
            <w:pPr>
              <w:pStyle w:val="Identificao"/>
            </w:pPr>
            <w:r w:rsidRPr="00E01558">
              <w:t>:</w:t>
            </w:r>
          </w:p>
        </w:tc>
        <w:tc>
          <w:tcPr>
            <w:tcW w:w="7600" w:type="dxa"/>
            <w:shd w:val="clear" w:color="auto" w:fill="auto"/>
          </w:tcPr>
          <w:p w:rsidR="00E01558" w:rsidRPr="00E01558" w:rsidRDefault="00E01558" w:rsidP="00E01558">
            <w:pPr>
              <w:pStyle w:val="Identificao"/>
            </w:pPr>
            <w:r w:rsidRPr="00E01558">
              <w:t>DESEMBARGADOR FEDERAL CÂNDIDO RIBEIRO</w:t>
            </w:r>
          </w:p>
        </w:tc>
      </w:tr>
      <w:tr w:rsidR="00F54BBA" w:rsidRPr="00E01558" w:rsidTr="00E01558">
        <w:tc>
          <w:tcPr>
            <w:tcW w:w="2000" w:type="dxa"/>
            <w:shd w:val="clear" w:color="auto" w:fill="auto"/>
          </w:tcPr>
          <w:p w:rsidR="00F54BBA" w:rsidRPr="00E01558" w:rsidRDefault="00F54BBA" w:rsidP="00E01558">
            <w:pPr>
              <w:pStyle w:val="Identificao"/>
            </w:pPr>
            <w:r>
              <w:t>RELATOR(A) P/ ACÓRDÃO</w:t>
            </w:r>
          </w:p>
        </w:tc>
        <w:tc>
          <w:tcPr>
            <w:tcW w:w="300" w:type="dxa"/>
            <w:shd w:val="clear" w:color="auto" w:fill="auto"/>
          </w:tcPr>
          <w:p w:rsidR="00F54BBA" w:rsidRPr="00E01558" w:rsidRDefault="00F54BBA" w:rsidP="00E01558">
            <w:pPr>
              <w:pStyle w:val="Identificao"/>
            </w:pPr>
            <w:r>
              <w:t>:</w:t>
            </w:r>
          </w:p>
        </w:tc>
        <w:tc>
          <w:tcPr>
            <w:tcW w:w="7600" w:type="dxa"/>
            <w:shd w:val="clear" w:color="auto" w:fill="auto"/>
          </w:tcPr>
          <w:p w:rsidR="00F54BBA" w:rsidRPr="00E01558" w:rsidRDefault="00F54BBA" w:rsidP="00E01558">
            <w:pPr>
              <w:pStyle w:val="Identificao"/>
            </w:pPr>
            <w:r>
              <w:t>JUIZ FEDERAL ÉRICO RODRIGO FREITAS PINHEIRO</w:t>
            </w:r>
          </w:p>
        </w:tc>
      </w:tr>
      <w:tr w:rsidR="00E01558" w:rsidRPr="00E01558" w:rsidTr="00E01558">
        <w:tc>
          <w:tcPr>
            <w:tcW w:w="2000" w:type="dxa"/>
            <w:shd w:val="clear" w:color="auto" w:fill="auto"/>
          </w:tcPr>
          <w:p w:rsidR="00E01558" w:rsidRPr="00E01558" w:rsidRDefault="00E01558" w:rsidP="00E01558">
            <w:pPr>
              <w:pStyle w:val="Identificao"/>
            </w:pPr>
            <w:r w:rsidRPr="00E01558">
              <w:t>APELANTE</w:t>
            </w:r>
          </w:p>
        </w:tc>
        <w:tc>
          <w:tcPr>
            <w:tcW w:w="300" w:type="dxa"/>
            <w:shd w:val="clear" w:color="auto" w:fill="auto"/>
          </w:tcPr>
          <w:p w:rsidR="00E01558" w:rsidRPr="00E01558" w:rsidRDefault="00E01558" w:rsidP="00E01558">
            <w:pPr>
              <w:pStyle w:val="Identificao"/>
            </w:pPr>
            <w:r w:rsidRPr="00E01558">
              <w:t>:</w:t>
            </w:r>
          </w:p>
        </w:tc>
        <w:tc>
          <w:tcPr>
            <w:tcW w:w="7600" w:type="dxa"/>
            <w:shd w:val="clear" w:color="auto" w:fill="auto"/>
          </w:tcPr>
          <w:p w:rsidR="00E01558" w:rsidRPr="00E01558" w:rsidRDefault="00E01558" w:rsidP="00E01558">
            <w:pPr>
              <w:pStyle w:val="Identificao"/>
            </w:pPr>
            <w:r w:rsidRPr="00E01558">
              <w:t xml:space="preserve">SEBASTIAO BATISTA DO NASCIMENTO </w:t>
            </w:r>
          </w:p>
        </w:tc>
      </w:tr>
      <w:tr w:rsidR="00E01558" w:rsidRPr="00E01558" w:rsidTr="00E01558">
        <w:tc>
          <w:tcPr>
            <w:tcW w:w="2000" w:type="dxa"/>
            <w:shd w:val="clear" w:color="auto" w:fill="auto"/>
          </w:tcPr>
          <w:p w:rsidR="00E01558" w:rsidRPr="00E01558" w:rsidRDefault="00E01558" w:rsidP="00E01558">
            <w:pPr>
              <w:pStyle w:val="Identificao"/>
            </w:pPr>
            <w:r w:rsidRPr="00E01558">
              <w:t>ADVOGADO DATIVO</w:t>
            </w:r>
          </w:p>
        </w:tc>
        <w:tc>
          <w:tcPr>
            <w:tcW w:w="300" w:type="dxa"/>
            <w:shd w:val="clear" w:color="auto" w:fill="auto"/>
          </w:tcPr>
          <w:p w:rsidR="00E01558" w:rsidRPr="00E01558" w:rsidRDefault="00E01558" w:rsidP="00E01558">
            <w:pPr>
              <w:pStyle w:val="Identificao"/>
            </w:pPr>
            <w:r w:rsidRPr="00E01558">
              <w:t>:</w:t>
            </w:r>
          </w:p>
        </w:tc>
        <w:tc>
          <w:tcPr>
            <w:tcW w:w="7600" w:type="dxa"/>
            <w:shd w:val="clear" w:color="auto" w:fill="auto"/>
          </w:tcPr>
          <w:p w:rsidR="00E01558" w:rsidRPr="00E01558" w:rsidRDefault="00E01558" w:rsidP="00E01558">
            <w:pPr>
              <w:pStyle w:val="Identificao"/>
            </w:pPr>
            <w:r w:rsidRPr="00E01558">
              <w:t xml:space="preserve">FATIMA BRACARENSE TRIMOULET </w:t>
            </w:r>
          </w:p>
        </w:tc>
      </w:tr>
      <w:tr w:rsidR="00E01558" w:rsidRPr="00E01558" w:rsidTr="00E01558">
        <w:tc>
          <w:tcPr>
            <w:tcW w:w="2000" w:type="dxa"/>
            <w:shd w:val="clear" w:color="auto" w:fill="auto"/>
          </w:tcPr>
          <w:p w:rsidR="00E01558" w:rsidRPr="00E01558" w:rsidRDefault="00E01558" w:rsidP="00E01558">
            <w:pPr>
              <w:pStyle w:val="Identificao"/>
            </w:pPr>
            <w:r w:rsidRPr="00E01558">
              <w:t>APELADO</w:t>
            </w:r>
          </w:p>
        </w:tc>
        <w:tc>
          <w:tcPr>
            <w:tcW w:w="300" w:type="dxa"/>
            <w:shd w:val="clear" w:color="auto" w:fill="auto"/>
          </w:tcPr>
          <w:p w:rsidR="00E01558" w:rsidRPr="00E01558" w:rsidRDefault="00E01558" w:rsidP="00E01558">
            <w:pPr>
              <w:pStyle w:val="Identificao"/>
            </w:pPr>
            <w:r w:rsidRPr="00E01558">
              <w:t>:</w:t>
            </w:r>
          </w:p>
        </w:tc>
        <w:tc>
          <w:tcPr>
            <w:tcW w:w="7600" w:type="dxa"/>
            <w:shd w:val="clear" w:color="auto" w:fill="auto"/>
          </w:tcPr>
          <w:p w:rsidR="00E01558" w:rsidRPr="00E01558" w:rsidRDefault="00E01558" w:rsidP="00E01558">
            <w:pPr>
              <w:pStyle w:val="Identificao"/>
            </w:pPr>
            <w:r w:rsidRPr="00E01558">
              <w:t xml:space="preserve">JUSTICA PUBLICA </w:t>
            </w:r>
          </w:p>
        </w:tc>
      </w:tr>
      <w:tr w:rsidR="00E01558" w:rsidRPr="00E01558" w:rsidTr="00E01558">
        <w:tc>
          <w:tcPr>
            <w:tcW w:w="2000" w:type="dxa"/>
            <w:shd w:val="clear" w:color="auto" w:fill="auto"/>
          </w:tcPr>
          <w:p w:rsidR="00E01558" w:rsidRPr="00E01558" w:rsidRDefault="00E01558" w:rsidP="00E01558">
            <w:pPr>
              <w:pStyle w:val="Identificao"/>
            </w:pPr>
            <w:r w:rsidRPr="00E01558">
              <w:t>PROCURADOR</w:t>
            </w:r>
          </w:p>
        </w:tc>
        <w:tc>
          <w:tcPr>
            <w:tcW w:w="300" w:type="dxa"/>
            <w:shd w:val="clear" w:color="auto" w:fill="auto"/>
          </w:tcPr>
          <w:p w:rsidR="00E01558" w:rsidRPr="00E01558" w:rsidRDefault="00E01558" w:rsidP="00E01558">
            <w:pPr>
              <w:pStyle w:val="Identificao"/>
            </w:pPr>
            <w:r w:rsidRPr="00E01558">
              <w:t>:</w:t>
            </w:r>
          </w:p>
        </w:tc>
        <w:tc>
          <w:tcPr>
            <w:tcW w:w="7600" w:type="dxa"/>
            <w:shd w:val="clear" w:color="auto" w:fill="auto"/>
          </w:tcPr>
          <w:p w:rsidR="00E01558" w:rsidRPr="00E01558" w:rsidRDefault="00E01558" w:rsidP="00E01558">
            <w:pPr>
              <w:pStyle w:val="Identificao"/>
            </w:pPr>
            <w:r w:rsidRPr="00E01558">
              <w:t xml:space="preserve">THIAGO DOS SANTOS LUZ </w:t>
            </w:r>
          </w:p>
        </w:tc>
      </w:tr>
    </w:tbl>
    <w:p w:rsidR="00E01558" w:rsidRDefault="00E01558" w:rsidP="00E01558">
      <w:pPr>
        <w:pStyle w:val="Identificao"/>
      </w:pPr>
    </w:p>
    <w:p w:rsidR="00F54BBA" w:rsidRPr="003420AE" w:rsidRDefault="00F54BBA" w:rsidP="00F54BBA">
      <w:pPr>
        <w:pStyle w:val="centralizar"/>
      </w:pPr>
      <w:r w:rsidRPr="003420AE">
        <w:t>E</w:t>
      </w:r>
      <w:r>
        <w:t xml:space="preserve"> </w:t>
      </w:r>
      <w:r w:rsidRPr="003420AE">
        <w:t>M</w:t>
      </w:r>
      <w:r>
        <w:t xml:space="preserve"> </w:t>
      </w:r>
      <w:r w:rsidRPr="003420AE">
        <w:t>E</w:t>
      </w:r>
      <w:r>
        <w:t xml:space="preserve"> </w:t>
      </w:r>
      <w:r w:rsidRPr="003420AE">
        <w:t>N</w:t>
      </w:r>
      <w:r>
        <w:t xml:space="preserve"> </w:t>
      </w:r>
      <w:r w:rsidRPr="003420AE">
        <w:t>T</w:t>
      </w:r>
      <w:r>
        <w:t xml:space="preserve"> </w:t>
      </w:r>
      <w:r w:rsidRPr="003420AE">
        <w:t>A</w:t>
      </w:r>
    </w:p>
    <w:p w:rsidR="00F54BBA" w:rsidRPr="009B0911" w:rsidRDefault="00F54BBA" w:rsidP="00F54BBA">
      <w:pPr>
        <w:pStyle w:val="ementa"/>
        <w:tabs>
          <w:tab w:val="left" w:pos="426"/>
        </w:tabs>
      </w:pPr>
      <w:r w:rsidRPr="009B0911">
        <w:t xml:space="preserve">PENAL. PROCESSUAL PENAL. EMBARGOS DE DECLARAÇÃO. INEXISTÊNCIA DE OMISSÃO. EXTINÇÃO DA PUNIBILIDADE. PRESCRIÇÃO DA PRETENSÃO PUNITIVA. </w:t>
      </w:r>
      <w:r w:rsidRPr="0039793A">
        <w:t>INOCORRÊNCIA. APLICAÇÃO DO PRECEDENTE DO STF NO HC 176.473/RR. ACÓRDÃO CONFIRMATÓRIO DA SENTENÇA CONDENATÓRIA. MARCO INTERRUPTIVO. DATA DA SESSÃO DE JULGAMENTO. EMBARGOS DE DECLARAÇÃO REJEITADOS.</w:t>
      </w:r>
    </w:p>
    <w:p w:rsidR="00500599" w:rsidRPr="00500599" w:rsidRDefault="00500599" w:rsidP="00500599">
      <w:pPr>
        <w:pStyle w:val="ementa"/>
        <w:tabs>
          <w:tab w:val="left" w:pos="426"/>
        </w:tabs>
      </w:pPr>
      <w:r>
        <w:t>1.</w:t>
      </w:r>
      <w:r>
        <w:tab/>
        <w:t>E</w:t>
      </w:r>
      <w:r w:rsidRPr="00500599">
        <w:t xml:space="preserve">mbargos de declaração opostos pelo réu, contra acórdão que negou provimento à apelação da defesa, confirmando a condenação </w:t>
      </w:r>
      <w:r>
        <w:t xml:space="preserve">que lhe foi </w:t>
      </w:r>
      <w:r w:rsidRPr="00500599">
        <w:t xml:space="preserve">imposta </w:t>
      </w:r>
      <w:r>
        <w:t>pela</w:t>
      </w:r>
      <w:r w:rsidRPr="00500599">
        <w:t xml:space="preserve"> prática do delito tipificado no art. 171, § 3º, c/c art. 14, II e parágrafo único, todos do CP</w:t>
      </w:r>
      <w:r>
        <w:t>,</w:t>
      </w:r>
      <w:r w:rsidRPr="00500599">
        <w:t xml:space="preserve"> por cinco vezes, em continuidade delitiva, à pena definitiva de 01 (um) ano, 02 (dois) meses e 06 (seis) dias de reclusão, substituída por duas restritivas de direitos, e ao pagamento de 10 (dez) dias-multa. </w:t>
      </w:r>
    </w:p>
    <w:p w:rsidR="00F54BBA" w:rsidRPr="009B0911" w:rsidRDefault="00F54BBA" w:rsidP="00500599">
      <w:pPr>
        <w:pStyle w:val="ementa"/>
        <w:tabs>
          <w:tab w:val="left" w:pos="426"/>
        </w:tabs>
      </w:pPr>
      <w:r w:rsidRPr="00500599">
        <w:t>2.</w:t>
      </w:r>
      <w:r w:rsidRPr="00500599">
        <w:tab/>
        <w:t>Não se pode falar em vício, eis que não configurada nenhuma das hipóteses previstas no art. 619 do CPP. Todavia, em se tratando de matéria de ordem pública, que deve ser declarada em qualquer fase do processo (CPP, art. 61), e tendo ocorrido o trânsito em julgado para a acusação, entendo pertinente verificar</w:t>
      </w:r>
      <w:r w:rsidRPr="009B0911">
        <w:t xml:space="preserve"> se ocorreu ou não a extinção da punibilidade pela prescrição.</w:t>
      </w:r>
    </w:p>
    <w:p w:rsidR="00F54BBA" w:rsidRPr="009B0911" w:rsidRDefault="00F54BBA" w:rsidP="00F54BBA">
      <w:pPr>
        <w:pStyle w:val="ementa"/>
        <w:tabs>
          <w:tab w:val="left" w:pos="426"/>
        </w:tabs>
      </w:pPr>
      <w:r>
        <w:t>3</w:t>
      </w:r>
      <w:r w:rsidRPr="009B0911">
        <w:t>.</w:t>
      </w:r>
      <w:r w:rsidRPr="009B0911">
        <w:tab/>
        <w:t>Em julgamento do Plenário do STF, ocorrido em 27/04/2020, no HC 176.473/RR, foi fixada tese no sentido de que, "nos termos do inciso IV do artigo 117 do Código Penal, o acórdão condenatório sempre interrompe a prescrição, inclusive quando confirmatório da sentença de 1º grau, seja mantendo, reduzindo ou aumentando a pena anteriormente imposta".</w:t>
      </w:r>
    </w:p>
    <w:p w:rsidR="00F54BBA" w:rsidRPr="0039793A" w:rsidRDefault="00F54BBA" w:rsidP="0039793A">
      <w:pPr>
        <w:pStyle w:val="ementa"/>
        <w:tabs>
          <w:tab w:val="left" w:pos="426"/>
        </w:tabs>
      </w:pPr>
      <w:r w:rsidRPr="0039793A">
        <w:t>4.</w:t>
      </w:r>
      <w:r w:rsidRPr="0039793A">
        <w:tab/>
        <w:t>Segundo a pacífica jurisprudência do STF, “nos julgamentos colegiados, ‘o marco interruptivo do prazo prescricional previsto no artigo 117, IV, do Código Penal, mesmo com a redação que lhe conferiu a Lei 11.596/2007, é o da data da sessão de julgamento’ (AP nº 409/</w:t>
      </w:r>
      <w:proofErr w:type="spellStart"/>
      <w:r w:rsidRPr="0039793A">
        <w:t>CE-AgR-segundo</w:t>
      </w:r>
      <w:proofErr w:type="spellEnd"/>
      <w:r w:rsidRPr="0039793A">
        <w:t xml:space="preserve">, Tribunal Pleno, Relator o Ministro </w:t>
      </w:r>
      <w:proofErr w:type="spellStart"/>
      <w:r w:rsidRPr="0039793A">
        <w:t>Teori</w:t>
      </w:r>
      <w:proofErr w:type="spellEnd"/>
      <w:r w:rsidRPr="0039793A">
        <w:t xml:space="preserve"> Zavascki, </w:t>
      </w:r>
      <w:proofErr w:type="spellStart"/>
      <w:proofErr w:type="gramStart"/>
      <w:r w:rsidRPr="0039793A">
        <w:t>DJe</w:t>
      </w:r>
      <w:proofErr w:type="spellEnd"/>
      <w:proofErr w:type="gramEnd"/>
      <w:r w:rsidRPr="0039793A">
        <w:t xml:space="preserve"> de 28/10/13)”.</w:t>
      </w:r>
    </w:p>
    <w:p w:rsidR="0039793A" w:rsidRPr="0039793A" w:rsidRDefault="0039793A" w:rsidP="0039793A">
      <w:pPr>
        <w:pStyle w:val="ementa"/>
        <w:tabs>
          <w:tab w:val="left" w:pos="426"/>
        </w:tabs>
      </w:pPr>
      <w:r>
        <w:t>5.</w:t>
      </w:r>
      <w:r>
        <w:tab/>
      </w:r>
      <w:r w:rsidRPr="0039793A">
        <w:t xml:space="preserve">Considerando que não houve interposição de recurso pela acusação, </w:t>
      </w:r>
      <w:proofErr w:type="gramStart"/>
      <w:r w:rsidRPr="0039793A">
        <w:t>a</w:t>
      </w:r>
      <w:proofErr w:type="gramEnd"/>
      <w:r w:rsidRPr="0039793A">
        <w:t xml:space="preserve"> prescrição regula-se pela pena em concreto</w:t>
      </w:r>
      <w:r>
        <w:t xml:space="preserve"> (CP, </w:t>
      </w:r>
      <w:r w:rsidRPr="0039793A">
        <w:t>art. 110, § 1º</w:t>
      </w:r>
      <w:r>
        <w:t>),</w:t>
      </w:r>
      <w:r w:rsidRPr="0039793A">
        <w:t xml:space="preserve"> fixada</w:t>
      </w:r>
      <w:r>
        <w:t>, no caso,</w:t>
      </w:r>
      <w:r w:rsidRPr="0039793A">
        <w:t xml:space="preserve"> em 01 (um) ano, 02 (dois) meses e 06 (seis) dias de reclusão</w:t>
      </w:r>
      <w:r>
        <w:t>. Porém</w:t>
      </w:r>
      <w:r w:rsidRPr="0039793A">
        <w:t xml:space="preserve">, para efeito de cálculo de prescrição, deve ser considerada a pena de 10 (dez) meses e </w:t>
      </w:r>
      <w:proofErr w:type="gramStart"/>
      <w:r w:rsidRPr="0039793A">
        <w:t>20 (vinte) dias de reclusão</w:t>
      </w:r>
      <w:r>
        <w:t xml:space="preserve"> -</w:t>
      </w:r>
      <w:r w:rsidRPr="0039793A">
        <w:t xml:space="preserve"> abatido</w:t>
      </w:r>
      <w:proofErr w:type="gramEnd"/>
      <w:r w:rsidRPr="0039793A">
        <w:t xml:space="preserve"> o quantum relativo à continuidade delitiva (STF, Súmula 497)</w:t>
      </w:r>
      <w:r>
        <w:t xml:space="preserve"> -</w:t>
      </w:r>
      <w:r w:rsidRPr="0039793A">
        <w:t>, que prescreve em 03 (três) anos</w:t>
      </w:r>
      <w:r>
        <w:t xml:space="preserve"> (CP, art. 109, VI).</w:t>
      </w:r>
      <w:r w:rsidRPr="0039793A">
        <w:t xml:space="preserve"> </w:t>
      </w:r>
    </w:p>
    <w:p w:rsidR="0039793A" w:rsidRPr="0039793A" w:rsidRDefault="0039793A" w:rsidP="0039793A">
      <w:pPr>
        <w:pStyle w:val="ementa"/>
        <w:tabs>
          <w:tab w:val="left" w:pos="426"/>
        </w:tabs>
      </w:pPr>
      <w:r>
        <w:t>6.</w:t>
      </w:r>
      <w:r>
        <w:tab/>
      </w:r>
      <w:r w:rsidRPr="0039793A">
        <w:t>O réu, nascido em 25/04/1935, de fato, possuía 70 (setenta) anos de idade na data da sentença, que foi proferida em 02/04/2019, tendo direito à redução pela metade do prazo prescricional como estabelece o art. 115 do CP.</w:t>
      </w:r>
    </w:p>
    <w:p w:rsidR="0039793A" w:rsidRDefault="0039793A" w:rsidP="0039793A">
      <w:pPr>
        <w:pStyle w:val="ementa"/>
        <w:tabs>
          <w:tab w:val="left" w:pos="426"/>
        </w:tabs>
      </w:pPr>
      <w:r>
        <w:t>7.</w:t>
      </w:r>
      <w:r>
        <w:tab/>
      </w:r>
      <w:r w:rsidRPr="0039793A">
        <w:t>O delito de estelionato previdenciário, praticado pelo próprio beneficiário, é delito permanente, de modo que o lapso prescricional conta-se da data do último ato de recebimento do benefício. Para o terceiro, que concorreu para a obtenção do benefício mediante fraude, o delito é instantâneo de efeitos permanentes, de modo que a contagem da prescrição inicia-se na data em que foi concedido o benefício.</w:t>
      </w:r>
      <w:r>
        <w:t xml:space="preserve"> </w:t>
      </w:r>
    </w:p>
    <w:p w:rsidR="0039793A" w:rsidRPr="0039793A" w:rsidRDefault="0039793A" w:rsidP="0039793A">
      <w:pPr>
        <w:pStyle w:val="ementa"/>
        <w:tabs>
          <w:tab w:val="left" w:pos="426"/>
        </w:tabs>
      </w:pPr>
      <w:r>
        <w:t>8.</w:t>
      </w:r>
      <w:r>
        <w:tab/>
        <w:t>V</w:t>
      </w:r>
      <w:r w:rsidRPr="0039793A">
        <w:t xml:space="preserve">erifica-se que o réu, em cinco ocasiões distintas, entre </w:t>
      </w:r>
      <w:r>
        <w:t>09</w:t>
      </w:r>
      <w:r w:rsidRPr="0039793A">
        <w:t xml:space="preserve">/2013 e </w:t>
      </w:r>
      <w:r>
        <w:t>08</w:t>
      </w:r>
      <w:r w:rsidRPr="0039793A">
        <w:t xml:space="preserve">/2014, auxiliando materialmente, participou de estelionato tentado contra o INSS, em continuidade delitiva. </w:t>
      </w:r>
    </w:p>
    <w:p w:rsidR="0039793A" w:rsidRPr="0039793A" w:rsidRDefault="0039793A" w:rsidP="0039793A">
      <w:pPr>
        <w:pStyle w:val="ementa"/>
        <w:tabs>
          <w:tab w:val="left" w:pos="426"/>
        </w:tabs>
      </w:pPr>
      <w:r>
        <w:lastRenderedPageBreak/>
        <w:t>9.</w:t>
      </w:r>
      <w:r>
        <w:tab/>
      </w:r>
      <w:r w:rsidRPr="0039793A">
        <w:t xml:space="preserve">A denúncia foi recebida em 27/07/2018; a sentença condenatória foi publicada, em secretaria, </w:t>
      </w:r>
      <w:r>
        <w:t>em</w:t>
      </w:r>
      <w:r w:rsidRPr="0039793A">
        <w:t xml:space="preserve"> 03/04/2019; e o acórdão embargado proferido no dia 03/10/2020; portanto, não se vislumbra o transcurso de lapso temporal superior a 01 (um) ano e 06 (seis) meses, que é o prazo aplicável, tendo em vista que o réu na data da sentença contava com mais de 70 (setenta) anos de idade.</w:t>
      </w:r>
    </w:p>
    <w:p w:rsidR="0039793A" w:rsidRPr="0039793A" w:rsidRDefault="0039793A" w:rsidP="0039793A">
      <w:pPr>
        <w:pStyle w:val="ementa"/>
        <w:tabs>
          <w:tab w:val="left" w:pos="426"/>
        </w:tabs>
      </w:pPr>
      <w:r>
        <w:t>10.</w:t>
      </w:r>
      <w:r>
        <w:tab/>
      </w:r>
      <w:r w:rsidRPr="0039793A">
        <w:t>Tendo em vista que não transcorreu mais de 01 (um) ano e 06 (seis) meses entre nenhum dos marcos interruptivos da prescrição, não se pode falar em prescrição da pretensão punitiva</w:t>
      </w:r>
      <w:r>
        <w:t>.</w:t>
      </w:r>
    </w:p>
    <w:p w:rsidR="00F54BBA" w:rsidRPr="0039793A" w:rsidRDefault="00F54BBA" w:rsidP="0039793A">
      <w:pPr>
        <w:pStyle w:val="ementa"/>
        <w:tabs>
          <w:tab w:val="left" w:pos="426"/>
        </w:tabs>
      </w:pPr>
      <w:r w:rsidRPr="0039793A">
        <w:t>1</w:t>
      </w:r>
      <w:r w:rsidR="0039793A">
        <w:t>1</w:t>
      </w:r>
      <w:r w:rsidRPr="0039793A">
        <w:t>.</w:t>
      </w:r>
      <w:r w:rsidRPr="0039793A">
        <w:tab/>
        <w:t>Embargos de declaração rejeitados.</w:t>
      </w:r>
    </w:p>
    <w:p w:rsidR="00F54BBA" w:rsidRPr="0039793A" w:rsidRDefault="00F54BBA" w:rsidP="00F54BBA">
      <w:pPr>
        <w:pStyle w:val="centralizar"/>
      </w:pPr>
      <w:r w:rsidRPr="0039793A">
        <w:t>A C Ó R D Ã O</w:t>
      </w:r>
    </w:p>
    <w:p w:rsidR="00F54BBA" w:rsidRPr="0039793A" w:rsidRDefault="00F54BBA" w:rsidP="00F54BBA">
      <w:pPr>
        <w:pStyle w:val="Pargrafo"/>
      </w:pPr>
      <w:r w:rsidRPr="0039793A">
        <w:t>Decide a Quarta Turma do TRF da Primeira Região, por maioria, rejeitar os embargos de declaração</w:t>
      </w:r>
      <w:r w:rsidR="00CC0ED9" w:rsidRPr="0039793A">
        <w:t>.</w:t>
      </w:r>
    </w:p>
    <w:p w:rsidR="00F54BBA" w:rsidRDefault="00F54BBA" w:rsidP="00F54BBA">
      <w:pPr>
        <w:pStyle w:val="Pargrafo"/>
      </w:pPr>
      <w:r w:rsidRPr="0039793A">
        <w:t>Brasília-DF,</w:t>
      </w:r>
      <w:r>
        <w:t xml:space="preserve"> 06 de dezembro de 2021. </w:t>
      </w:r>
    </w:p>
    <w:p w:rsidR="00F54BBA" w:rsidRDefault="00F54BBA" w:rsidP="00F54BBA">
      <w:pPr>
        <w:pStyle w:val="Pargrafo"/>
      </w:pPr>
    </w:p>
    <w:p w:rsidR="00F54BBA" w:rsidRPr="003420AE" w:rsidRDefault="00F54BBA" w:rsidP="00F54BBA">
      <w:pPr>
        <w:pStyle w:val="assinatura"/>
        <w:rPr>
          <w:rFonts w:eastAsia="MS Mincho"/>
          <w:sz w:val="12"/>
        </w:rPr>
      </w:pPr>
    </w:p>
    <w:p w:rsidR="00F54BBA" w:rsidRDefault="00F54BBA" w:rsidP="00F54BBA">
      <w:pPr>
        <w:pStyle w:val="assinatura"/>
        <w:rPr>
          <w:rFonts w:eastAsia="MS Mincho"/>
        </w:rPr>
      </w:pPr>
      <w:r>
        <w:rPr>
          <w:rFonts w:eastAsia="MS Mincho"/>
        </w:rPr>
        <w:t xml:space="preserve">Juiz Federal </w:t>
      </w:r>
      <w:r w:rsidRPr="00F54BBA">
        <w:rPr>
          <w:rFonts w:eastAsia="MS Mincho"/>
          <w:b/>
          <w:bCs/>
        </w:rPr>
        <w:t>ÉRICO RODRIGO FREITAS PINHEIRO</w:t>
      </w:r>
    </w:p>
    <w:p w:rsidR="00F54BBA" w:rsidRPr="00F54BBA" w:rsidRDefault="00F54BBA" w:rsidP="00694BCC">
      <w:pPr>
        <w:pStyle w:val="assinatura"/>
        <w:rPr>
          <w:b/>
          <w:bCs/>
          <w:sz w:val="16"/>
          <w:szCs w:val="18"/>
          <w:u w:val="single"/>
        </w:rPr>
      </w:pPr>
      <w:r>
        <w:rPr>
          <w:rFonts w:eastAsia="MS Mincho"/>
        </w:rPr>
        <w:t>Relator Convocado</w:t>
      </w:r>
    </w:p>
    <w:sectPr w:rsidR="00F54BBA" w:rsidRPr="00F54BBA" w:rsidSect="004554A7">
      <w:headerReference w:type="default" r:id="rId7"/>
      <w:footerReference w:type="default" r:id="rId8"/>
      <w:footerReference w:type="first" r:id="rId9"/>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519" w:rsidRDefault="00AA1519">
      <w:r>
        <w:separator/>
      </w:r>
    </w:p>
  </w:endnote>
  <w:endnote w:type="continuationSeparator" w:id="0">
    <w:p w:rsidR="00AA1519" w:rsidRDefault="00AA15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sidR="000E0F3B">
      <w:rPr>
        <w:rFonts w:ascii="Arial" w:hAnsi="Arial"/>
        <w:sz w:val="10"/>
      </w:rPr>
      <w:fldChar w:fldCharType="begin"/>
    </w:r>
    <w:r>
      <w:rPr>
        <w:rFonts w:ascii="Arial" w:hAnsi="Arial"/>
        <w:sz w:val="10"/>
      </w:rPr>
      <w:instrText xml:space="preserve"> FILENAME \p </w:instrText>
    </w:r>
    <w:r w:rsidR="000E0F3B">
      <w:rPr>
        <w:rFonts w:ascii="Arial" w:hAnsi="Arial"/>
        <w:sz w:val="10"/>
      </w:rPr>
      <w:fldChar w:fldCharType="separate"/>
    </w:r>
    <w:r w:rsidR="005670D4">
      <w:rPr>
        <w:rFonts w:ascii="Arial" w:hAnsi="Arial"/>
        <w:noProof/>
        <w:sz w:val="10"/>
      </w:rPr>
      <w:t>W:\ASSESSORIA\VOTO-VENCEDOR\629-43.2019MG.FMM.ED.JF Érico Rodrigo.prescrição.HC176.473.docx</w:t>
    </w:r>
    <w:r w:rsidR="000E0F3B">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sidR="000E0F3B">
      <w:rPr>
        <w:rFonts w:ascii="Arial" w:hAnsi="Arial"/>
        <w:sz w:val="13"/>
      </w:rPr>
      <w:fldChar w:fldCharType="begin"/>
    </w:r>
    <w:r>
      <w:rPr>
        <w:rFonts w:ascii="Arial" w:hAnsi="Arial"/>
        <w:sz w:val="13"/>
      </w:rPr>
      <w:instrText xml:space="preserve"> FILENAME \p </w:instrText>
    </w:r>
    <w:r w:rsidR="000E0F3B">
      <w:rPr>
        <w:rFonts w:ascii="Arial" w:hAnsi="Arial"/>
        <w:sz w:val="13"/>
      </w:rPr>
      <w:fldChar w:fldCharType="separate"/>
    </w:r>
    <w:r w:rsidR="005670D4">
      <w:rPr>
        <w:rFonts w:ascii="Arial" w:hAnsi="Arial"/>
        <w:noProof/>
        <w:sz w:val="13"/>
      </w:rPr>
      <w:t>W:\ASSESSORIA\VOTO-VENCEDOR\629-43.2019MG.FMM.ED.JF Érico Rodrigo.prescrição.HC176.473.docx</w:t>
    </w:r>
    <w:r w:rsidR="000E0F3B">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sidR="000E0F3B">
      <w:rPr>
        <w:rFonts w:ascii="Arial" w:hAnsi="Arial"/>
        <w:sz w:val="13"/>
      </w:rPr>
      <w:fldChar w:fldCharType="begin"/>
    </w:r>
    <w:r>
      <w:rPr>
        <w:rFonts w:ascii="Arial" w:hAnsi="Arial"/>
        <w:sz w:val="13"/>
      </w:rPr>
      <w:instrText xml:space="preserve"> AUTHOR </w:instrText>
    </w:r>
    <w:r w:rsidR="000E0F3B">
      <w:rPr>
        <w:rFonts w:ascii="Arial" w:hAnsi="Arial"/>
        <w:sz w:val="13"/>
      </w:rPr>
      <w:fldChar w:fldCharType="separate"/>
    </w:r>
    <w:r w:rsidR="005670D4">
      <w:rPr>
        <w:rFonts w:ascii="Arial" w:hAnsi="Arial"/>
        <w:noProof/>
        <w:sz w:val="13"/>
      </w:rPr>
      <w:t>tr301401</w:t>
    </w:r>
    <w:r w:rsidR="000E0F3B">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519" w:rsidRDefault="00AA1519">
      <w:r>
        <w:separator/>
      </w:r>
    </w:p>
  </w:footnote>
  <w:footnote w:type="continuationSeparator" w:id="0">
    <w:p w:rsidR="00AA1519" w:rsidRDefault="00AA15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sidR="000E0F3B">
      <w:rPr>
        <w:rFonts w:ascii="Arial" w:hAnsi="Arial" w:cs="Arial"/>
        <w:bCs/>
        <w:sz w:val="16"/>
      </w:rPr>
      <w:fldChar w:fldCharType="begin"/>
    </w:r>
    <w:r>
      <w:rPr>
        <w:rFonts w:ascii="Arial" w:hAnsi="Arial" w:cs="Arial"/>
        <w:bCs/>
        <w:sz w:val="16"/>
      </w:rPr>
      <w:instrText xml:space="preserve"> PAGE </w:instrText>
    </w:r>
    <w:r w:rsidR="000E0F3B">
      <w:rPr>
        <w:rFonts w:ascii="Arial" w:hAnsi="Arial" w:cs="Arial"/>
        <w:bCs/>
        <w:sz w:val="16"/>
      </w:rPr>
      <w:fldChar w:fldCharType="separate"/>
    </w:r>
    <w:r w:rsidR="00694BCC">
      <w:rPr>
        <w:rFonts w:ascii="Arial" w:hAnsi="Arial" w:cs="Arial"/>
        <w:bCs/>
        <w:noProof/>
        <w:sz w:val="16"/>
      </w:rPr>
      <w:t>2</w:t>
    </w:r>
    <w:r w:rsidR="000E0F3B">
      <w:rPr>
        <w:rFonts w:ascii="Arial" w:hAnsi="Arial" w:cs="Arial"/>
        <w:bCs/>
        <w:sz w:val="16"/>
      </w:rPr>
      <w:fldChar w:fldCharType="end"/>
    </w:r>
    <w:r>
      <w:rPr>
        <w:rFonts w:ascii="Arial" w:hAnsi="Arial" w:cs="Arial"/>
        <w:bCs/>
        <w:sz w:val="16"/>
      </w:rPr>
      <w:t>/</w:t>
    </w:r>
    <w:r w:rsidR="000E0F3B">
      <w:rPr>
        <w:rFonts w:ascii="Arial" w:hAnsi="Arial" w:cs="Arial"/>
        <w:bCs/>
        <w:sz w:val="16"/>
      </w:rPr>
      <w:fldChar w:fldCharType="begin"/>
    </w:r>
    <w:r>
      <w:rPr>
        <w:rFonts w:ascii="Arial" w:hAnsi="Arial" w:cs="Arial"/>
        <w:bCs/>
        <w:sz w:val="16"/>
      </w:rPr>
      <w:instrText xml:space="preserve"> NUMPAGES </w:instrText>
    </w:r>
    <w:r w:rsidR="000E0F3B">
      <w:rPr>
        <w:rFonts w:ascii="Arial" w:hAnsi="Arial" w:cs="Arial"/>
        <w:bCs/>
        <w:sz w:val="16"/>
      </w:rPr>
      <w:fldChar w:fldCharType="separate"/>
    </w:r>
    <w:r w:rsidR="00694BCC">
      <w:rPr>
        <w:rFonts w:ascii="Arial" w:hAnsi="Arial" w:cs="Arial"/>
        <w:bCs/>
        <w:noProof/>
        <w:sz w:val="16"/>
      </w:rPr>
      <w:t>2</w:t>
    </w:r>
    <w:r w:rsidR="000E0F3B">
      <w:rPr>
        <w:rFonts w:ascii="Arial" w:hAnsi="Arial" w:cs="Arial"/>
        <w:bCs/>
        <w:sz w:val="16"/>
      </w:rPr>
      <w:fldChar w:fldCharType="end"/>
    </w:r>
  </w:p>
  <w:p w:rsidR="00F54BBA" w:rsidRPr="00F54BBA" w:rsidRDefault="00F54BBA" w:rsidP="00F54BBA">
    <w:pPr>
      <w:pStyle w:val="Identificao"/>
      <w:rPr>
        <w:b/>
        <w:bCs/>
        <w:u w:val="single"/>
      </w:rPr>
    </w:pPr>
    <w:r w:rsidRPr="00F54BBA">
      <w:rPr>
        <w:b/>
        <w:bCs/>
        <w:u w:val="single"/>
      </w:rPr>
      <w:t>EMBARGOS DE DECLARAÇÃO NA APELAÇÃO CRIMINAL N. 0000629-43.2019.4.01.3815/MG</w:t>
    </w:r>
  </w:p>
  <w:p w:rsidR="00F54BBA" w:rsidRDefault="00F54BBA">
    <w:pPr>
      <w:tabs>
        <w:tab w:val="right" w:pos="9540"/>
      </w:tabs>
      <w:spacing w:after="120"/>
      <w:rPr>
        <w:rFonts w:ascii="Arial" w:hAnsi="Arial" w:cs="Arial"/>
        <w:bCs/>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stylePaneFormatFilter w:val="1801"/>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F54BBA"/>
    <w:rsid w:val="000E0F3B"/>
    <w:rsid w:val="0015179D"/>
    <w:rsid w:val="00191A8C"/>
    <w:rsid w:val="002331F7"/>
    <w:rsid w:val="002463CE"/>
    <w:rsid w:val="003855B2"/>
    <w:rsid w:val="0039793A"/>
    <w:rsid w:val="003A2F0A"/>
    <w:rsid w:val="00413610"/>
    <w:rsid w:val="004269A8"/>
    <w:rsid w:val="004554A7"/>
    <w:rsid w:val="00462716"/>
    <w:rsid w:val="00471CDF"/>
    <w:rsid w:val="004C17AC"/>
    <w:rsid w:val="00500599"/>
    <w:rsid w:val="005231C2"/>
    <w:rsid w:val="005670D4"/>
    <w:rsid w:val="005E20DB"/>
    <w:rsid w:val="006779DE"/>
    <w:rsid w:val="00694BCC"/>
    <w:rsid w:val="006A4ECE"/>
    <w:rsid w:val="00775D32"/>
    <w:rsid w:val="007A7066"/>
    <w:rsid w:val="007C3424"/>
    <w:rsid w:val="007F647C"/>
    <w:rsid w:val="008713AE"/>
    <w:rsid w:val="00872397"/>
    <w:rsid w:val="008972B3"/>
    <w:rsid w:val="008A3D69"/>
    <w:rsid w:val="008C4395"/>
    <w:rsid w:val="0096024F"/>
    <w:rsid w:val="00964662"/>
    <w:rsid w:val="0099169E"/>
    <w:rsid w:val="00A319A6"/>
    <w:rsid w:val="00AA1519"/>
    <w:rsid w:val="00AE0328"/>
    <w:rsid w:val="00B3548F"/>
    <w:rsid w:val="00B565B4"/>
    <w:rsid w:val="00B66CAC"/>
    <w:rsid w:val="00C06471"/>
    <w:rsid w:val="00C5492A"/>
    <w:rsid w:val="00CA59E0"/>
    <w:rsid w:val="00CC0ED9"/>
    <w:rsid w:val="00CF09BA"/>
    <w:rsid w:val="00D221D6"/>
    <w:rsid w:val="00DD0AC9"/>
    <w:rsid w:val="00DD4197"/>
    <w:rsid w:val="00E01558"/>
    <w:rsid w:val="00E850E4"/>
    <w:rsid w:val="00EE6447"/>
    <w:rsid w:val="00F1456F"/>
    <w:rsid w:val="00F54BBA"/>
    <w:rsid w:val="00FD714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nhideWhenUsed="0" w:qFormat="1"/>
    <w:lsdException w:name="Emphasis" w:semiHidden="0" w:unhideWhenUsed="0" w:qFormat="1"/>
    <w:lsdException w:name="Plain Tex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48F"/>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rsid w:val="00B3548F"/>
    <w:pPr>
      <w:spacing w:before="0" w:after="0"/>
    </w:pPr>
  </w:style>
  <w:style w:type="paragraph" w:customStyle="1" w:styleId="ementa">
    <w:name w:val="ementa"/>
    <w:basedOn w:val="Pargrafo"/>
    <w:link w:val="ementaChar"/>
    <w:rsid w:val="002331F7"/>
    <w:pPr>
      <w:ind w:firstLine="0"/>
    </w:pPr>
  </w:style>
  <w:style w:type="paragraph" w:customStyle="1" w:styleId="Pargrafo">
    <w:name w:val="Parágrafo"/>
    <w:basedOn w:val="Normal"/>
    <w:link w:val="PargrafoChar"/>
    <w:qFormat/>
    <w:rsid w:val="00B3548F"/>
    <w:pPr>
      <w:spacing w:before="120" w:after="120"/>
      <w:ind w:firstLine="1418"/>
      <w:jc w:val="both"/>
    </w:pPr>
    <w:rPr>
      <w:rFonts w:ascii="Arial" w:hAnsi="Arial"/>
      <w:sz w:val="22"/>
    </w:rPr>
  </w:style>
  <w:style w:type="paragraph" w:customStyle="1" w:styleId="centralizar">
    <w:name w:val="centralizar"/>
    <w:basedOn w:val="Pargrafo"/>
    <w:next w:val="Pargrafo"/>
    <w:rsid w:val="00B3548F"/>
    <w:pPr>
      <w:spacing w:before="360" w:after="360"/>
      <w:ind w:firstLine="0"/>
      <w:jc w:val="center"/>
    </w:pPr>
    <w:rPr>
      <w:b/>
    </w:rPr>
  </w:style>
  <w:style w:type="paragraph" w:customStyle="1" w:styleId="Transcrio">
    <w:name w:val="Transcrição"/>
    <w:basedOn w:val="Pargrafo"/>
    <w:rsid w:val="00B3548F"/>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rsid w:val="00B3548F"/>
    <w:pPr>
      <w:ind w:left="2835"/>
    </w:pPr>
  </w:style>
  <w:style w:type="paragraph" w:customStyle="1" w:styleId="transcrio3">
    <w:name w:val="transcrição 3"/>
    <w:basedOn w:val="Identificao"/>
    <w:rsid w:val="00B3548F"/>
    <w:pPr>
      <w:ind w:left="3686"/>
    </w:pPr>
    <w:rPr>
      <w:i/>
      <w:iCs/>
    </w:rPr>
  </w:style>
  <w:style w:type="paragraph" w:customStyle="1" w:styleId="transcrio4">
    <w:name w:val="transcrição 4"/>
    <w:basedOn w:val="transcrio3"/>
    <w:rsid w:val="00B3548F"/>
    <w:pPr>
      <w:ind w:left="4536"/>
    </w:pPr>
  </w:style>
  <w:style w:type="paragraph" w:customStyle="1" w:styleId="assinatura">
    <w:name w:val="assinatura"/>
    <w:basedOn w:val="Pargrafo"/>
    <w:link w:val="assinaturaChar"/>
    <w:rsid w:val="00B3548F"/>
    <w:pPr>
      <w:spacing w:before="0" w:after="0"/>
      <w:ind w:firstLine="0"/>
      <w:jc w:val="center"/>
    </w:pPr>
  </w:style>
  <w:style w:type="paragraph" w:customStyle="1" w:styleId="Pargrafo2">
    <w:name w:val="Parágrafo 2"/>
    <w:basedOn w:val="Pargrafo"/>
    <w:rsid w:val="00B3548F"/>
    <w:pPr>
      <w:spacing w:line="480" w:lineRule="auto"/>
    </w:pPr>
  </w:style>
  <w:style w:type="paragraph" w:styleId="Rodap">
    <w:name w:val="footer"/>
    <w:basedOn w:val="Normal"/>
    <w:rsid w:val="002331F7"/>
    <w:pPr>
      <w:tabs>
        <w:tab w:val="center" w:pos="4252"/>
        <w:tab w:val="right" w:pos="8504"/>
      </w:tabs>
    </w:pPr>
  </w:style>
  <w:style w:type="paragraph" w:styleId="TextosemFormatao">
    <w:name w:val="Plain Text"/>
    <w:basedOn w:val="Normal"/>
    <w:link w:val="TextosemFormataoChar"/>
    <w:uiPriority w:val="99"/>
    <w:unhideWhenUsed/>
    <w:rsid w:val="00E01558"/>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uiPriority w:val="99"/>
    <w:rsid w:val="00E01558"/>
    <w:rPr>
      <w:rFonts w:ascii="Consolas" w:eastAsiaTheme="minorHAnsi" w:hAnsi="Consolas" w:cstheme="minorBidi"/>
      <w:sz w:val="21"/>
      <w:szCs w:val="21"/>
      <w:lang w:eastAsia="en-US"/>
    </w:rPr>
  </w:style>
  <w:style w:type="character" w:customStyle="1" w:styleId="PargrafoChar">
    <w:name w:val="Parágrafo Char"/>
    <w:basedOn w:val="Fontepargpadro"/>
    <w:link w:val="Pargrafo"/>
    <w:locked/>
    <w:rsid w:val="00F54BBA"/>
    <w:rPr>
      <w:rFonts w:ascii="Arial" w:hAnsi="Arial"/>
      <w:sz w:val="22"/>
      <w:szCs w:val="24"/>
    </w:rPr>
  </w:style>
  <w:style w:type="character" w:customStyle="1" w:styleId="ementaChar">
    <w:name w:val="ementa Char"/>
    <w:basedOn w:val="Fontepargpadro"/>
    <w:link w:val="ementa"/>
    <w:locked/>
    <w:rsid w:val="00F54BBA"/>
    <w:rPr>
      <w:rFonts w:ascii="Arial" w:hAnsi="Arial"/>
      <w:sz w:val="22"/>
      <w:szCs w:val="24"/>
    </w:rPr>
  </w:style>
  <w:style w:type="character" w:customStyle="1" w:styleId="assinaturaChar">
    <w:name w:val="assinatura Char"/>
    <w:basedOn w:val="Fontepargpadro"/>
    <w:link w:val="assinatura"/>
    <w:locked/>
    <w:rsid w:val="00F54BBA"/>
    <w:rPr>
      <w:rFonts w:ascii="Arial" w:hAnsi="Arial"/>
      <w:sz w:val="22"/>
      <w:szCs w:val="24"/>
    </w:rPr>
  </w:style>
  <w:style w:type="paragraph" w:styleId="Textodebalo">
    <w:name w:val="Balloon Text"/>
    <w:basedOn w:val="Normal"/>
    <w:link w:val="TextodebaloChar"/>
    <w:rsid w:val="00C06471"/>
    <w:rPr>
      <w:rFonts w:ascii="Tahoma" w:hAnsi="Tahoma" w:cs="Tahoma"/>
      <w:sz w:val="16"/>
      <w:szCs w:val="16"/>
    </w:rPr>
  </w:style>
  <w:style w:type="character" w:customStyle="1" w:styleId="TextodebaloChar">
    <w:name w:val="Texto de balão Char"/>
    <w:basedOn w:val="Fontepargpadro"/>
    <w:link w:val="Textodebalo"/>
    <w:rsid w:val="00C064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682</Words>
  <Characters>3687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trf1</Company>
  <LinksUpToDate>false</LinksUpToDate>
  <CharactersWithSpaces>4361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tr301401</dc:creator>
  <cp:lastModifiedBy>tr17268ps</cp:lastModifiedBy>
  <cp:revision>8</cp:revision>
  <cp:lastPrinted>2022-02-15T17:52:00Z</cp:lastPrinted>
  <dcterms:created xsi:type="dcterms:W3CDTF">2022-02-08T20:24:00Z</dcterms:created>
  <dcterms:modified xsi:type="dcterms:W3CDTF">2022-03-03T17:27:00Z</dcterms:modified>
</cp:coreProperties>
</file>