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4F8" w:rsidRDefault="006B34F8" w:rsidP="006B34F8">
      <w:pPr>
        <w:spacing w:line="360" w:lineRule="auto"/>
        <w:jc w:val="both"/>
        <w:rPr>
          <w:rFonts w:ascii="Arial" w:hAnsi="Arial" w:cs="Arial"/>
          <w:sz w:val="24"/>
          <w:szCs w:val="24"/>
          <w:shd w:val="clear" w:color="auto" w:fill="F8F8F8"/>
        </w:rPr>
      </w:pPr>
      <w:r>
        <w:rPr>
          <w:rFonts w:ascii="Arial" w:hAnsi="Arial" w:cs="Arial"/>
          <w:sz w:val="24"/>
          <w:szCs w:val="24"/>
        </w:rPr>
        <w:t xml:space="preserve">AGRAVO REGIMENTAL NO </w:t>
      </w:r>
      <w:r>
        <w:rPr>
          <w:rFonts w:ascii="Arial" w:hAnsi="Arial" w:cs="Arial"/>
          <w:sz w:val="24"/>
          <w:szCs w:val="24"/>
          <w:shd w:val="clear" w:color="auto" w:fill="F8F8F8"/>
        </w:rPr>
        <w:t xml:space="preserve">MANDADO DE SEGURANÇA N° 0000002-92.2019.4.01.9197/DF </w:t>
      </w:r>
    </w:p>
    <w:p w:rsidR="006B34F8" w:rsidRDefault="006B34F8" w:rsidP="006B34F8">
      <w:pPr>
        <w:spacing w:line="360" w:lineRule="auto"/>
        <w:jc w:val="both"/>
        <w:rPr>
          <w:rFonts w:ascii="Arial" w:hAnsi="Arial" w:cs="Arial"/>
          <w:sz w:val="24"/>
          <w:szCs w:val="24"/>
          <w:shd w:val="clear" w:color="auto" w:fill="F8F8F8"/>
        </w:rPr>
      </w:pPr>
      <w:proofErr w:type="gramStart"/>
      <w:r>
        <w:rPr>
          <w:rFonts w:ascii="Arial" w:hAnsi="Arial" w:cs="Arial"/>
          <w:sz w:val="24"/>
          <w:szCs w:val="24"/>
          <w:shd w:val="clear" w:color="auto" w:fill="F8F8F8"/>
        </w:rPr>
        <w:t>RELATORA :</w:t>
      </w:r>
      <w:proofErr w:type="gramEnd"/>
      <w:r>
        <w:rPr>
          <w:rFonts w:ascii="Arial" w:hAnsi="Arial" w:cs="Arial"/>
          <w:sz w:val="24"/>
          <w:szCs w:val="24"/>
          <w:shd w:val="clear" w:color="auto" w:fill="F8F8F8"/>
        </w:rPr>
        <w:t xml:space="preserve"> JUÍZA FEDERAL LILIAN OLIVEIRA DA COSTA TOURINHO IMPETRANTE : JOÃO FERREIRA LIMA </w:t>
      </w:r>
    </w:p>
    <w:p w:rsidR="006B34F8" w:rsidRDefault="006B34F8" w:rsidP="006B34F8">
      <w:pPr>
        <w:spacing w:line="360" w:lineRule="auto"/>
        <w:jc w:val="both"/>
        <w:rPr>
          <w:rFonts w:ascii="Arial" w:hAnsi="Arial" w:cs="Arial"/>
          <w:sz w:val="24"/>
          <w:szCs w:val="24"/>
          <w:shd w:val="clear" w:color="auto" w:fill="F8F8F8"/>
        </w:rPr>
      </w:pPr>
      <w:proofErr w:type="gramStart"/>
      <w:r>
        <w:rPr>
          <w:rFonts w:ascii="Arial" w:hAnsi="Arial" w:cs="Arial"/>
          <w:sz w:val="24"/>
          <w:szCs w:val="24"/>
          <w:shd w:val="clear" w:color="auto" w:fill="F8F8F8"/>
        </w:rPr>
        <w:t>ADVOGADO :</w:t>
      </w:r>
      <w:proofErr w:type="gramEnd"/>
      <w:r>
        <w:rPr>
          <w:rFonts w:ascii="Arial" w:hAnsi="Arial" w:cs="Arial"/>
          <w:sz w:val="24"/>
          <w:szCs w:val="24"/>
          <w:shd w:val="clear" w:color="auto" w:fill="F8F8F8"/>
        </w:rPr>
        <w:t xml:space="preserve"> JOSEMI NOGUEIRA ARAÚJO E OUTROS(AS) </w:t>
      </w:r>
    </w:p>
    <w:p w:rsidR="006B34F8" w:rsidRDefault="006B34F8" w:rsidP="006B34F8">
      <w:pPr>
        <w:spacing w:line="360" w:lineRule="auto"/>
        <w:jc w:val="both"/>
        <w:rPr>
          <w:rFonts w:ascii="Arial" w:hAnsi="Arial" w:cs="Arial"/>
          <w:sz w:val="24"/>
          <w:szCs w:val="24"/>
          <w:shd w:val="clear" w:color="auto" w:fill="F8F8F8"/>
        </w:rPr>
      </w:pPr>
      <w:proofErr w:type="gramStart"/>
      <w:r>
        <w:rPr>
          <w:rFonts w:ascii="Arial" w:hAnsi="Arial" w:cs="Arial"/>
          <w:sz w:val="24"/>
          <w:szCs w:val="24"/>
          <w:shd w:val="clear" w:color="auto" w:fill="F8F8F8"/>
        </w:rPr>
        <w:t>IMPETRADO :</w:t>
      </w:r>
      <w:proofErr w:type="gramEnd"/>
      <w:r>
        <w:rPr>
          <w:rFonts w:ascii="Arial" w:hAnsi="Arial" w:cs="Arial"/>
          <w:sz w:val="24"/>
          <w:szCs w:val="24"/>
          <w:shd w:val="clear" w:color="auto" w:fill="F8F8F8"/>
        </w:rPr>
        <w:t xml:space="preserve"> PRESIDENTE DA TURMA REGIONAL DE UNIFORMIZAÇÃO DA 1ª REGIÃO </w:t>
      </w:r>
    </w:p>
    <w:p w:rsidR="006B34F8" w:rsidRDefault="006B34F8" w:rsidP="006B34F8">
      <w:pPr>
        <w:spacing w:line="360" w:lineRule="auto"/>
        <w:jc w:val="both"/>
        <w:rPr>
          <w:rFonts w:ascii="Arial" w:hAnsi="Arial" w:cs="Arial"/>
          <w:sz w:val="24"/>
          <w:szCs w:val="24"/>
        </w:rPr>
      </w:pPr>
      <w:proofErr w:type="gramStart"/>
      <w:r>
        <w:rPr>
          <w:rFonts w:ascii="Arial" w:hAnsi="Arial" w:cs="Arial"/>
          <w:sz w:val="24"/>
          <w:szCs w:val="24"/>
          <w:shd w:val="clear" w:color="auto" w:fill="F8F8F8"/>
        </w:rPr>
        <w:t>PROCURADOR :</w:t>
      </w:r>
      <w:proofErr w:type="gramEnd"/>
      <w:r>
        <w:rPr>
          <w:rFonts w:ascii="Arial" w:hAnsi="Arial" w:cs="Arial"/>
          <w:sz w:val="24"/>
          <w:szCs w:val="24"/>
          <w:shd w:val="clear" w:color="auto" w:fill="F8F8F8"/>
        </w:rPr>
        <w:t xml:space="preserve"> PROCURADORIA REGIONAL FEDERAL DA 1ª REGIÃO</w:t>
      </w:r>
    </w:p>
    <w:p w:rsidR="006B34F8" w:rsidRDefault="006B34F8" w:rsidP="006B34F8">
      <w:pPr>
        <w:spacing w:line="360" w:lineRule="auto"/>
        <w:jc w:val="both"/>
        <w:rPr>
          <w:rFonts w:ascii="Arial" w:hAnsi="Arial" w:cs="Arial"/>
          <w:sz w:val="24"/>
          <w:szCs w:val="24"/>
        </w:rPr>
      </w:pPr>
    </w:p>
    <w:p w:rsidR="006B34F8" w:rsidRDefault="006B34F8" w:rsidP="006B34F8">
      <w:pPr>
        <w:jc w:val="both"/>
        <w:rPr>
          <w:rFonts w:ascii="Arial" w:hAnsi="Arial" w:cs="Arial"/>
          <w:b/>
          <w:sz w:val="24"/>
          <w:szCs w:val="24"/>
          <w:u w:val="single"/>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u w:val="single"/>
        </w:rPr>
        <w:t>RELATÓRIO</w:t>
      </w:r>
    </w:p>
    <w:p w:rsidR="006B34F8" w:rsidRDefault="006B34F8" w:rsidP="006B34F8">
      <w:pPr>
        <w:jc w:val="both"/>
        <w:rPr>
          <w:rFonts w:ascii="Arial" w:hAnsi="Arial" w:cs="Arial"/>
          <w:sz w:val="24"/>
          <w:szCs w:val="24"/>
        </w:rPr>
      </w:pPr>
      <w:r>
        <w:rPr>
          <w:rFonts w:ascii="Arial" w:hAnsi="Arial" w:cs="Arial"/>
          <w:sz w:val="24"/>
          <w:szCs w:val="24"/>
        </w:rPr>
        <w:t>A PARTE AUTORA interpôs Agravo Regimental contra a decisão desta Juíza Relatora que indeferiu liminarmente Mandado de Segurança impetrado contra decisão do então Presidente da Turma Regional de Uniformização que manteve decisão do Presidente da Turma Recursal de origem que inadmitiu Pedido Regional de Uniformização:</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“‘Cuida-se de mandado de segurança impetrado em face de ato do Presidente desta Turma Regional de Uniformização da 1a Região, que negou provimento ao agravo interposto contra decisão que não admitiu o</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incidente de uniformização. Pretende o impetrante seja cassada a decisão de negativa de seguimento do referido recurso e sua distribuição para apreciação pelo colegiado da TRUJEF.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No feito originário (processo n° 2008.39.01.712969-5), havia sido interposto pedido regional de uniformização de jurisprudência (fls. 60/69) contra acórdãos da 1a Turma Recursal do Pará/Amapá, que, respectivamente, manteve a sentença por seus próprios fundamentos, julgando improcedente o pedido de concessão de Pensão Mensal Vitalícia, nos termos do art.54 do ADCT/CF —</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1988 (fl. 58), e rejeitou os embargos de declaração (fl. 59).</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 A Presidência da Turma Recursal não admitiu o incidente de uniformização, sendo interposto, seguidamente, agravo, ao qual foi negado provimento pelo Presidente da Turma Regional de Uniformização da </w:t>
      </w:r>
      <w:proofErr w:type="gramStart"/>
      <w:r>
        <w:rPr>
          <w:rFonts w:ascii="Arial" w:hAnsi="Arial" w:cs="Arial"/>
          <w:i/>
          <w:sz w:val="24"/>
          <w:szCs w:val="24"/>
          <w:shd w:val="clear" w:color="auto" w:fill="F8F8F8"/>
        </w:rPr>
        <w:t>1aRegião</w:t>
      </w:r>
      <w:proofErr w:type="gramEnd"/>
      <w:r>
        <w:rPr>
          <w:rFonts w:ascii="Arial" w:hAnsi="Arial" w:cs="Arial"/>
          <w:i/>
          <w:sz w:val="24"/>
          <w:szCs w:val="24"/>
          <w:shd w:val="clear" w:color="auto" w:fill="F8F8F8"/>
        </w:rPr>
        <w:t xml:space="preserve">, tendo em vista a ausência de similitude fático-jurídica entre os julgados em cotejo. Os embargos de declaração opostos (fls. 83/90) contra essa decisão foram rejeitados através da decisão de fls. 91/92.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lastRenderedPageBreak/>
        <w:t>Decido.</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 O mandado de segurança tem cabimento em face de atos ilegais ou perpetrados com abuso de poder. O art.1°, caput, da Lei n. 12.016/2009 estatui que "conceder-se-á mandado de segurança para proteger direito liquido e certo, não amparado por habeas corpus ou habeas data, sempre que, ilegalmente ou com abuso de poder, qualquer pessoa física ou jurídica sofrer violação ou houver justo receio de sofrê-la por parte de autoridade, seja de que categoria for e sejam quais forem </w:t>
      </w:r>
      <w:proofErr w:type="gramStart"/>
      <w:r>
        <w:rPr>
          <w:rFonts w:ascii="Arial" w:hAnsi="Arial" w:cs="Arial"/>
          <w:i/>
          <w:sz w:val="24"/>
          <w:szCs w:val="24"/>
          <w:shd w:val="clear" w:color="auto" w:fill="F8F8F8"/>
        </w:rPr>
        <w:t>as</w:t>
      </w:r>
      <w:proofErr w:type="gramEnd"/>
      <w:r>
        <w:rPr>
          <w:rFonts w:ascii="Arial" w:hAnsi="Arial" w:cs="Arial"/>
          <w:i/>
          <w:sz w:val="24"/>
          <w:szCs w:val="24"/>
          <w:shd w:val="clear" w:color="auto" w:fill="F8F8F8"/>
        </w:rPr>
        <w:t xml:space="preserve"> funções que exerça".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A</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Resolução n° 347/2014, do Conselho da Justiça Federal, dispõe sobre a compatibilização dos regimentos internos das Turmas Recursais e das Turmas Regionais de Uniformização. De acordo com o artigo 2°, inciso IV, da citada resolução, compete eis turmas recursais dos juizados especiais </w:t>
      </w:r>
      <w:proofErr w:type="gramStart"/>
      <w:r>
        <w:rPr>
          <w:rFonts w:ascii="Arial" w:hAnsi="Arial" w:cs="Arial"/>
          <w:i/>
          <w:sz w:val="24"/>
          <w:szCs w:val="24"/>
          <w:shd w:val="clear" w:color="auto" w:fill="F8F8F8"/>
        </w:rPr>
        <w:t>processar</w:t>
      </w:r>
      <w:proofErr w:type="gramEnd"/>
      <w:r>
        <w:rPr>
          <w:rFonts w:ascii="Arial" w:hAnsi="Arial" w:cs="Arial"/>
          <w:i/>
          <w:sz w:val="24"/>
          <w:szCs w:val="24"/>
          <w:shd w:val="clear" w:color="auto" w:fill="F8F8F8"/>
        </w:rPr>
        <w:t xml:space="preserve"> e julgar mandados de segurança contra ato de juiz federal no exercício da competência dos juizados especiais federais e contra os seus próprios atos e decisões.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Há, portanto, a possibilidade de impetração de Mandado de Segurança no microssistema dos juizados especiais contra atos da Presidência da Turma Regional de Uniformização. Observo, a este respeito, que tanto a Turma Nacional de Uniformização quanto as Turmas Regionais já firmaram o entendimento de que os atos das respectivas Presidências, negando seguimento ou não conhecendo do incidente de uniformização manifestamente inadmissível ou em confronto com súmula ou jurisprudência dominante, são irrecorríveis, podendo ser, alternativamente, utilizada a via do mandado de segurança quando se tratar de decisão teratológica ou ato manifestamente ilegal: </w:t>
      </w: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MANDADO DE SEGURANÇA. ATO DO MINISTRO PRESIDENTE DA TNU. INSTRUMENTO PROCESSUAL INADEQUADO. DECISÃO NÃO TERATOLOGICA. NÃO CABIMENTO DO MANDAMUS. PETIÇÃO INICIAL INDEFERIDA "(...)- A Lei 10.259/</w:t>
      </w:r>
      <w:proofErr w:type="gramStart"/>
      <w:r>
        <w:rPr>
          <w:rFonts w:ascii="Arial" w:hAnsi="Arial" w:cs="Arial"/>
          <w:i/>
          <w:sz w:val="24"/>
          <w:szCs w:val="24"/>
          <w:shd w:val="clear" w:color="auto" w:fill="F8F8F8"/>
        </w:rPr>
        <w:t>2001,</w:t>
      </w:r>
      <w:proofErr w:type="gramEnd"/>
      <w:r>
        <w:rPr>
          <w:rFonts w:ascii="Arial" w:hAnsi="Arial" w:cs="Arial"/>
          <w:i/>
          <w:sz w:val="24"/>
          <w:szCs w:val="24"/>
          <w:shd w:val="clear" w:color="auto" w:fill="F8F8F8"/>
        </w:rPr>
        <w:t xml:space="preserve">no seu art. 14, prevê a possibilidade de Pedido de Uniformização de interpretação de lei federal quando houver divergência entre decisões de direito material proferidas por Turmas Recursais da mesma Região, entre Turmas Recursais de regiões diversas ou entre decisão de Turma Recursal e súmula ou jurisprudência dominante do Superior Tribunal de Justiça. - Por outro lado, conforme o art. 7°, inciso VII, letra c, do RITNU, na redação dada pela Resolução n°. 163, de 9 de novembro de 2011, compete ao </w:t>
      </w:r>
      <w:r>
        <w:rPr>
          <w:rFonts w:ascii="Arial" w:hAnsi="Arial" w:cs="Arial"/>
          <w:i/>
          <w:sz w:val="24"/>
          <w:szCs w:val="24"/>
          <w:shd w:val="clear" w:color="auto" w:fill="F8F8F8"/>
        </w:rPr>
        <w:lastRenderedPageBreak/>
        <w:t xml:space="preserve">Presidente da TNU, antes da distribuição, obstar a tramitação de Incidente de Uniformização manifestamente inadmissível ou em confronto com súmula ou jurisprudência dominante da Turma Nacional de Uniformização, do Superior Tribunal de Justiça ou do Supremo Tribunal Federal. - Ocorre que o entendimento perfilhado por esta Corte é de que as decisões proferidas pelo Presidente desta Turma Nacional de Uniformização que negam seguimento ou não conhecem o incidente manifestamente inadmissível em confronto com Súmula ou jurisprudência dominante da TNU, STJ e STF, são </w:t>
      </w:r>
      <w:proofErr w:type="spellStart"/>
      <w:r>
        <w:rPr>
          <w:rFonts w:ascii="Arial" w:hAnsi="Arial" w:cs="Arial"/>
          <w:i/>
          <w:sz w:val="24"/>
          <w:szCs w:val="24"/>
          <w:shd w:val="clear" w:color="auto" w:fill="F8F8F8"/>
        </w:rPr>
        <w:t>irrecorriveis</w:t>
      </w:r>
      <w:proofErr w:type="spellEnd"/>
      <w:r>
        <w:rPr>
          <w:rFonts w:ascii="Arial" w:hAnsi="Arial" w:cs="Arial"/>
          <w:i/>
          <w:sz w:val="24"/>
          <w:szCs w:val="24"/>
          <w:shd w:val="clear" w:color="auto" w:fill="F8F8F8"/>
        </w:rPr>
        <w:t xml:space="preserve">, na forma do inciso VIII do art. 9° do mesmo RI desta TNU, alterado pela Resolução n° CLF-RES-2015/00345 de 2 de junho de 2015, podendo, contudo, ser utilizada a via do mandado de segurança apenas quando a decisão evidenciar caráter teratológico ou materializar negativa de prestação jurisdicional, e  que, não sendo esse o caso, a medida que se impõe é de indeferimento da inicial. - Ao contrário do que quer fazer crer o impetrante, não há ato abusivo a validar a impetração do Mandado de Segurança haja vista que a  decisão agravada apenas se deu em observância aos requisitos de admissibilidade previstos no Regimento Interno desta Corte. -  Pelo exposto, verificado que, no caso dos autos, inexiste violação a direito liquido e certo e, da mesma forma, não se afigurando a decisão do Presidente da TNU teratológica, voto por INDEFERIR A PETIÇÃO INICIAL DO MANDADO DE SEGURANÇA. (TNU, PEDILEF N. 00000635720154900000, Rel. Juiz Federal Frederico Augusto </w:t>
      </w:r>
      <w:proofErr w:type="spellStart"/>
      <w:r>
        <w:rPr>
          <w:rFonts w:ascii="Arial" w:hAnsi="Arial" w:cs="Arial"/>
          <w:i/>
          <w:sz w:val="24"/>
          <w:szCs w:val="24"/>
          <w:shd w:val="clear" w:color="auto" w:fill="F8F8F8"/>
        </w:rPr>
        <w:t>Leopoldino</w:t>
      </w:r>
      <w:proofErr w:type="spellEnd"/>
      <w:r>
        <w:rPr>
          <w:rFonts w:ascii="Arial" w:hAnsi="Arial" w:cs="Arial"/>
          <w:i/>
          <w:sz w:val="24"/>
          <w:szCs w:val="24"/>
          <w:shd w:val="clear" w:color="auto" w:fill="F8F8F8"/>
        </w:rPr>
        <w:t xml:space="preserve"> </w:t>
      </w:r>
      <w:proofErr w:type="spellStart"/>
      <w:r>
        <w:rPr>
          <w:rFonts w:ascii="Arial" w:hAnsi="Arial" w:cs="Arial"/>
          <w:i/>
          <w:sz w:val="24"/>
          <w:szCs w:val="24"/>
          <w:shd w:val="clear" w:color="auto" w:fill="F8F8F8"/>
        </w:rPr>
        <w:t>Koehler</w:t>
      </w:r>
      <w:proofErr w:type="spellEnd"/>
      <w:r>
        <w:rPr>
          <w:rFonts w:ascii="Arial" w:hAnsi="Arial" w:cs="Arial"/>
          <w:i/>
          <w:sz w:val="24"/>
          <w:szCs w:val="24"/>
          <w:shd w:val="clear" w:color="auto" w:fill="F8F8F8"/>
        </w:rPr>
        <w:t xml:space="preserve">, julgado em 19/11/2015, publicado DOU 22/01/2016 p. 83/132). </w:t>
      </w:r>
    </w:p>
    <w:p w:rsidR="006B34F8" w:rsidRDefault="006B34F8" w:rsidP="006B34F8">
      <w:pPr>
        <w:ind w:left="1134"/>
        <w:jc w:val="both"/>
        <w:rPr>
          <w:rFonts w:ascii="Arial" w:hAnsi="Arial" w:cs="Arial"/>
          <w:i/>
          <w:sz w:val="24"/>
          <w:szCs w:val="24"/>
          <w:shd w:val="clear" w:color="auto" w:fill="F8F8F8"/>
        </w:rPr>
      </w:pP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MANDADO DE SEGURANÇA. ATO DA PRESIDÊNCIA DA TURMA REGIONAL QUE NÃO CONHECE AGRAVO REGIMENTAL INTERPOSTO CONTRA DECISÃO DO COLEGIADO. INDEFERIMENTO DA PETIÇÃO INICIAL.</w:t>
      </w: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 xml:space="preserve"> 1. A</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petição inicial de mandado de segurança contra ato judicial deve demonstrar de plano a manifesta ilegalidade e a lesão a direito liquido e certo. 2. A decisão da Presidência da Turma Regional que não conhece de agravo regimental interposto contra acórdão do Colegiado não se afigurava teratológica, manifestamente ilegal, pois o Regimento Interno das Turmas Recursais dos </w:t>
      </w:r>
      <w:proofErr w:type="spellStart"/>
      <w:r>
        <w:rPr>
          <w:rFonts w:ascii="Arial" w:hAnsi="Arial" w:cs="Arial"/>
          <w:i/>
          <w:sz w:val="24"/>
          <w:szCs w:val="24"/>
          <w:shd w:val="clear" w:color="auto" w:fill="F8F8F8"/>
        </w:rPr>
        <w:t>JEF's</w:t>
      </w:r>
      <w:proofErr w:type="spellEnd"/>
      <w:r>
        <w:rPr>
          <w:rFonts w:ascii="Arial" w:hAnsi="Arial" w:cs="Arial"/>
          <w:i/>
          <w:sz w:val="24"/>
          <w:szCs w:val="24"/>
          <w:shd w:val="clear" w:color="auto" w:fill="F8F8F8"/>
        </w:rPr>
        <w:t xml:space="preserve"> e da Turma Regional de Uniformização de Jurisprudência no âmbito da 4a Regido prevê </w:t>
      </w:r>
      <w:r>
        <w:rPr>
          <w:rFonts w:ascii="Arial" w:hAnsi="Arial" w:cs="Arial"/>
          <w:i/>
          <w:sz w:val="24"/>
          <w:szCs w:val="24"/>
          <w:shd w:val="clear" w:color="auto" w:fill="F8F8F8"/>
        </w:rPr>
        <w:lastRenderedPageBreak/>
        <w:t xml:space="preserve">a interposição de agravo regimental somente contra decisões monocráticas. 3. Indeferimento da petição inicial de mandado de segurança. (TRU, MS 0016012-57.2011.404.0000, TURMA REGIONAL DE UNIFORMIZAÇÃO DA 4a REGIÃO, Relator MARCOS JOSEGREI DA SILVA, </w:t>
      </w:r>
      <w:proofErr w:type="spellStart"/>
      <w:r>
        <w:rPr>
          <w:rFonts w:ascii="Arial" w:hAnsi="Arial" w:cs="Arial"/>
          <w:i/>
          <w:sz w:val="24"/>
          <w:szCs w:val="24"/>
          <w:shd w:val="clear" w:color="auto" w:fill="F8F8F8"/>
        </w:rPr>
        <w:t>D.E.</w:t>
      </w:r>
      <w:proofErr w:type="spellEnd"/>
      <w:r>
        <w:rPr>
          <w:rFonts w:ascii="Arial" w:hAnsi="Arial" w:cs="Arial"/>
          <w:i/>
          <w:sz w:val="24"/>
          <w:szCs w:val="24"/>
          <w:shd w:val="clear" w:color="auto" w:fill="F8F8F8"/>
        </w:rPr>
        <w:t xml:space="preserve"> 28/02/2012).</w:t>
      </w:r>
    </w:p>
    <w:p w:rsidR="006B34F8" w:rsidRDefault="006B34F8" w:rsidP="006B34F8">
      <w:pPr>
        <w:ind w:left="1134"/>
        <w:jc w:val="both"/>
        <w:rPr>
          <w:rFonts w:ascii="Arial" w:hAnsi="Arial" w:cs="Arial"/>
          <w:i/>
          <w:sz w:val="24"/>
          <w:szCs w:val="24"/>
          <w:shd w:val="clear" w:color="auto" w:fill="F8F8F8"/>
        </w:rPr>
      </w:pP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 Inicialmente, observo que o impetrante não cumpriu o disposto no art. 6° Lei n° 12.016/2009, uma vez que não apresentou a segunda via da petição inicial, necessária à notificação da autoridade coatora a respeito da impetração e seus respectivos fundamentos, permitindo-lhe sejam </w:t>
      </w:r>
      <w:proofErr w:type="gramStart"/>
      <w:r>
        <w:rPr>
          <w:rFonts w:ascii="Arial" w:hAnsi="Arial" w:cs="Arial"/>
          <w:i/>
          <w:sz w:val="24"/>
          <w:szCs w:val="24"/>
          <w:shd w:val="clear" w:color="auto" w:fill="F8F8F8"/>
        </w:rPr>
        <w:t>prestadas</w:t>
      </w:r>
      <w:proofErr w:type="gramEnd"/>
      <w:r>
        <w:rPr>
          <w:rFonts w:ascii="Arial" w:hAnsi="Arial" w:cs="Arial"/>
          <w:i/>
          <w:sz w:val="24"/>
          <w:szCs w:val="24"/>
          <w:shd w:val="clear" w:color="auto" w:fill="F8F8F8"/>
        </w:rPr>
        <w:t xml:space="preserve"> as informações processuais pertinentes. A exigência legal se encontra assim disciplinada: </w:t>
      </w: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 xml:space="preserve">Art. 6° A petição inicial, que deverá preencher os requisitos estabelecidos pela lei processual, será apresentada em </w:t>
      </w:r>
      <w:proofErr w:type="gramStart"/>
      <w:r>
        <w:rPr>
          <w:rFonts w:ascii="Arial" w:hAnsi="Arial" w:cs="Arial"/>
          <w:i/>
          <w:sz w:val="24"/>
          <w:szCs w:val="24"/>
          <w:shd w:val="clear" w:color="auto" w:fill="F8F8F8"/>
        </w:rPr>
        <w:t>2</w:t>
      </w:r>
      <w:proofErr w:type="gramEnd"/>
      <w:r>
        <w:rPr>
          <w:rFonts w:ascii="Arial" w:hAnsi="Arial" w:cs="Arial"/>
          <w:i/>
          <w:sz w:val="24"/>
          <w:szCs w:val="24"/>
          <w:shd w:val="clear" w:color="auto" w:fill="F8F8F8"/>
        </w:rPr>
        <w:t xml:space="preserve"> (duas) vias com os documentos que </w:t>
      </w:r>
      <w:proofErr w:type="spellStart"/>
      <w:r>
        <w:rPr>
          <w:rFonts w:ascii="Arial" w:hAnsi="Arial" w:cs="Arial"/>
          <w:i/>
          <w:sz w:val="24"/>
          <w:szCs w:val="24"/>
          <w:shd w:val="clear" w:color="auto" w:fill="F8F8F8"/>
        </w:rPr>
        <w:t>instruirem</w:t>
      </w:r>
      <w:proofErr w:type="spellEnd"/>
      <w:r>
        <w:rPr>
          <w:rFonts w:ascii="Arial" w:hAnsi="Arial" w:cs="Arial"/>
          <w:i/>
          <w:sz w:val="24"/>
          <w:szCs w:val="24"/>
          <w:shd w:val="clear" w:color="auto" w:fill="F8F8F8"/>
        </w:rPr>
        <w:t xml:space="preserve"> a primeira reproduzidos na segunda e indicará, além da autoridade coatora, a pessoa jurídica que esta integra, A  qual se acha vinculada ou da qual exerce atribuições. </w:t>
      </w: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Art. 7° Ao despachar a inicial, o juiz ordenará: I -</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que se notifique o  coator do conteúdo da petição inicial, enviando-lhe a segunda via apresentada com as cópias dos documentos, a fim de que, no prazo de 10 (dez) dias, preste as informações;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Ademais, a ação mandamental ajuizada contra decisão judicial há de ser entendida como um sucedâneo recursal. Embora se trate de ação autônoma, o mandado de segurança desempenha no processo função idêntica a de um recurso. Seu cabimento exige a presença de manifesta ilegalidade em um ato judicial, contra o</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qual não seja prevista a interposição de recurso.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Considerando-se a opção do legislador de não possibilitar o</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duplo grau de jurisdição para toda e qualquer decisão, é  certo que </w:t>
      </w:r>
      <w:proofErr w:type="spellStart"/>
      <w:r>
        <w:rPr>
          <w:rFonts w:ascii="Arial" w:hAnsi="Arial" w:cs="Arial"/>
          <w:i/>
          <w:sz w:val="24"/>
          <w:szCs w:val="24"/>
          <w:shd w:val="clear" w:color="auto" w:fill="F8F8F8"/>
        </w:rPr>
        <w:t>que</w:t>
      </w:r>
      <w:proofErr w:type="spellEnd"/>
      <w:r>
        <w:rPr>
          <w:rFonts w:ascii="Arial" w:hAnsi="Arial" w:cs="Arial"/>
          <w:i/>
          <w:sz w:val="24"/>
          <w:szCs w:val="24"/>
          <w:shd w:val="clear" w:color="auto" w:fill="F8F8F8"/>
        </w:rPr>
        <w:t xml:space="preserve"> o  manejo dessa ação possui contornos de excepcionalidade. Para tanto, é necessário que a</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decisão judicial seja teratológica. Não caberia ao Poder Judiciário se omitir de retificar anomalia ou </w:t>
      </w:r>
      <w:proofErr w:type="spellStart"/>
      <w:r>
        <w:rPr>
          <w:rFonts w:ascii="Arial" w:hAnsi="Arial" w:cs="Arial"/>
          <w:i/>
          <w:sz w:val="24"/>
          <w:szCs w:val="24"/>
          <w:shd w:val="clear" w:color="auto" w:fill="F8F8F8"/>
        </w:rPr>
        <w:t>atecnia</w:t>
      </w:r>
      <w:proofErr w:type="spellEnd"/>
      <w:r>
        <w:rPr>
          <w:rFonts w:ascii="Arial" w:hAnsi="Arial" w:cs="Arial"/>
          <w:i/>
          <w:sz w:val="24"/>
          <w:szCs w:val="24"/>
          <w:shd w:val="clear" w:color="auto" w:fill="F8F8F8"/>
        </w:rPr>
        <w:t xml:space="preserve"> grave que, uma vez perpetrada, cause prejuízo injustificado para uma das partes.</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 Contudo, esse não é o caso dos autos, não se divisando aqui teratologia que justifique o manejo do writ. O ato inquinado de violador de direito liquido e certo </w:t>
      </w:r>
      <w:proofErr w:type="gramStart"/>
      <w:r>
        <w:rPr>
          <w:rFonts w:ascii="Arial" w:hAnsi="Arial" w:cs="Arial"/>
          <w:i/>
          <w:sz w:val="24"/>
          <w:szCs w:val="24"/>
          <w:shd w:val="clear" w:color="auto" w:fill="F8F8F8"/>
        </w:rPr>
        <w:t>trata-se</w:t>
      </w:r>
      <w:proofErr w:type="gramEnd"/>
      <w:r>
        <w:rPr>
          <w:rFonts w:ascii="Arial" w:hAnsi="Arial" w:cs="Arial"/>
          <w:i/>
          <w:sz w:val="24"/>
          <w:szCs w:val="24"/>
          <w:shd w:val="clear" w:color="auto" w:fill="F8F8F8"/>
        </w:rPr>
        <w:t xml:space="preserve"> da decisão proferida pelo Presidente da Turma Regional de Uniformização de Jurisprudência </w:t>
      </w:r>
      <w:r>
        <w:rPr>
          <w:rFonts w:ascii="Arial" w:hAnsi="Arial" w:cs="Arial"/>
          <w:i/>
          <w:sz w:val="24"/>
          <w:szCs w:val="24"/>
          <w:shd w:val="clear" w:color="auto" w:fill="F8F8F8"/>
        </w:rPr>
        <w:lastRenderedPageBreak/>
        <w:t xml:space="preserve">da 1a Região na apreciação do agravo interposto contra decisão do Presidente da Turma Recursal do Pará/Amapá de inadmissão do pedido de uniformização. É de competência do Presidente da TRUJEF o julgamento desse agravo, cabendo-lhe, assim, realizar o reexame da questão em segundo momento, corroborando-se, ou não, o exame preliminar de admissibilidade do pedido de uniformização. Isso é o que dispõe o art. 88 do Regimento Interno dos Juizados Especiais Federais, das Turmas Recursais e da Turma Regional de Uniformização de Jurisprudência dos Juizados Especiais Federais da 1ª Regido (Resolução </w:t>
      </w:r>
      <w:proofErr w:type="spellStart"/>
      <w:r>
        <w:rPr>
          <w:rFonts w:ascii="Arial" w:hAnsi="Arial" w:cs="Arial"/>
          <w:i/>
          <w:sz w:val="24"/>
          <w:szCs w:val="24"/>
          <w:shd w:val="clear" w:color="auto" w:fill="F8F8F8"/>
        </w:rPr>
        <w:t>Presi</w:t>
      </w:r>
      <w:proofErr w:type="spellEnd"/>
      <w:r>
        <w:rPr>
          <w:rFonts w:ascii="Arial" w:hAnsi="Arial" w:cs="Arial"/>
          <w:i/>
          <w:sz w:val="24"/>
          <w:szCs w:val="24"/>
          <w:shd w:val="clear" w:color="auto" w:fill="F8F8F8"/>
        </w:rPr>
        <w:t xml:space="preserve"> n° 17/2014), com a seguinte redação dada pela Resolução </w:t>
      </w:r>
      <w:proofErr w:type="spellStart"/>
      <w:r>
        <w:rPr>
          <w:rFonts w:ascii="Arial" w:hAnsi="Arial" w:cs="Arial"/>
          <w:i/>
          <w:sz w:val="24"/>
          <w:szCs w:val="24"/>
          <w:shd w:val="clear" w:color="auto" w:fill="F8F8F8"/>
        </w:rPr>
        <w:t>Presi</w:t>
      </w:r>
      <w:proofErr w:type="spellEnd"/>
      <w:r>
        <w:rPr>
          <w:rFonts w:ascii="Arial" w:hAnsi="Arial" w:cs="Arial"/>
          <w:i/>
          <w:sz w:val="24"/>
          <w:szCs w:val="24"/>
          <w:shd w:val="clear" w:color="auto" w:fill="F8F8F8"/>
        </w:rPr>
        <w:t xml:space="preserve"> n° 6538395, de </w:t>
      </w:r>
      <w:proofErr w:type="gramStart"/>
      <w:r>
        <w:rPr>
          <w:rFonts w:ascii="Arial" w:hAnsi="Arial" w:cs="Arial"/>
          <w:i/>
          <w:sz w:val="24"/>
          <w:szCs w:val="24"/>
          <w:shd w:val="clear" w:color="auto" w:fill="F8F8F8"/>
        </w:rPr>
        <w:t>2</w:t>
      </w:r>
      <w:proofErr w:type="gramEnd"/>
      <w:r>
        <w:rPr>
          <w:rFonts w:ascii="Arial" w:hAnsi="Arial" w:cs="Arial"/>
          <w:i/>
          <w:sz w:val="24"/>
          <w:szCs w:val="24"/>
          <w:shd w:val="clear" w:color="auto" w:fill="F8F8F8"/>
        </w:rPr>
        <w:t xml:space="preserve"> de agosto de 2018):</w:t>
      </w:r>
    </w:p>
    <w:p w:rsidR="006B34F8" w:rsidRDefault="006B34F8" w:rsidP="006B34F8">
      <w:pPr>
        <w:ind w:left="1701"/>
        <w:jc w:val="both"/>
        <w:rPr>
          <w:rFonts w:ascii="Arial" w:hAnsi="Arial" w:cs="Arial"/>
          <w:i/>
          <w:sz w:val="24"/>
          <w:szCs w:val="24"/>
          <w:shd w:val="clear" w:color="auto" w:fill="F8F8F8"/>
        </w:rPr>
      </w:pPr>
      <w:r>
        <w:rPr>
          <w:rFonts w:ascii="Arial" w:hAnsi="Arial" w:cs="Arial"/>
          <w:i/>
          <w:sz w:val="24"/>
          <w:szCs w:val="24"/>
          <w:shd w:val="clear" w:color="auto" w:fill="F8F8F8"/>
        </w:rPr>
        <w:t xml:space="preserve">Art. 88. Não admitido o incidente, a parte poderá interpor agravo nos próprios autos, no prazo de quinze dias, contados da publicação da decisão recorrida, conforme o caso, ao presidente da Turma Regional de Uniformização ou da Turma Nacional de Uniformização.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Conforme se observa A fl. 81/82, foi negado provimento ao agravo nos termos seguintes: "Verifico que no acórdão trazido como paradigma, concluiu-se que para o reconhecimento </w:t>
      </w:r>
      <w:proofErr w:type="gramStart"/>
      <w:r>
        <w:rPr>
          <w:rFonts w:ascii="Arial" w:hAnsi="Arial" w:cs="Arial"/>
          <w:i/>
          <w:sz w:val="24"/>
          <w:szCs w:val="24"/>
          <w:shd w:val="clear" w:color="auto" w:fill="F8F8F8"/>
        </w:rPr>
        <w:t>do direito 6</w:t>
      </w:r>
      <w:proofErr w:type="gramEnd"/>
      <w:r>
        <w:rPr>
          <w:rFonts w:ascii="Arial" w:hAnsi="Arial" w:cs="Arial"/>
          <w:i/>
          <w:sz w:val="24"/>
          <w:szCs w:val="24"/>
          <w:shd w:val="clear" w:color="auto" w:fill="F8F8F8"/>
        </w:rPr>
        <w:t xml:space="preserve"> pensão mensal vitalícia de seringueiro não foi fixado limite de idade </w:t>
      </w:r>
      <w:proofErr w:type="spellStart"/>
      <w:r>
        <w:rPr>
          <w:rFonts w:ascii="Arial" w:hAnsi="Arial" w:cs="Arial"/>
          <w:i/>
          <w:sz w:val="24"/>
          <w:szCs w:val="24"/>
          <w:shd w:val="clear" w:color="auto" w:fill="F8F8F8"/>
        </w:rPr>
        <w:t>minima</w:t>
      </w:r>
      <w:proofErr w:type="spellEnd"/>
      <w:r>
        <w:rPr>
          <w:rFonts w:ascii="Arial" w:hAnsi="Arial" w:cs="Arial"/>
          <w:i/>
          <w:sz w:val="24"/>
          <w:szCs w:val="24"/>
          <w:shd w:val="clear" w:color="auto" w:fill="F8F8F8"/>
        </w:rPr>
        <w:t xml:space="preserve">. Porém, in </w:t>
      </w:r>
      <w:proofErr w:type="spellStart"/>
      <w:r>
        <w:rPr>
          <w:rFonts w:ascii="Arial" w:hAnsi="Arial" w:cs="Arial"/>
          <w:i/>
          <w:sz w:val="24"/>
          <w:szCs w:val="24"/>
          <w:shd w:val="clear" w:color="auto" w:fill="F8F8F8"/>
        </w:rPr>
        <w:t>casu</w:t>
      </w:r>
      <w:proofErr w:type="spellEnd"/>
      <w:r>
        <w:rPr>
          <w:rFonts w:ascii="Arial" w:hAnsi="Arial" w:cs="Arial"/>
          <w:i/>
          <w:sz w:val="24"/>
          <w:szCs w:val="24"/>
          <w:shd w:val="clear" w:color="auto" w:fill="F8F8F8"/>
        </w:rPr>
        <w:t xml:space="preserve"> o </w:t>
      </w:r>
      <w:proofErr w:type="spellStart"/>
      <w:r>
        <w:rPr>
          <w:rFonts w:ascii="Arial" w:hAnsi="Arial" w:cs="Arial"/>
          <w:i/>
          <w:sz w:val="24"/>
          <w:szCs w:val="24"/>
          <w:shd w:val="clear" w:color="auto" w:fill="F8F8F8"/>
        </w:rPr>
        <w:t>acordão</w:t>
      </w:r>
      <w:proofErr w:type="spellEnd"/>
      <w:r>
        <w:rPr>
          <w:rFonts w:ascii="Arial" w:hAnsi="Arial" w:cs="Arial"/>
          <w:i/>
          <w:sz w:val="24"/>
          <w:szCs w:val="24"/>
          <w:shd w:val="clear" w:color="auto" w:fill="F8F8F8"/>
        </w:rPr>
        <w:t xml:space="preserve"> entendeu que não há dependência do requerente em relação ao instituidor da pensão, por ser maior de 21 anos e  não ser inválido. Desse modo, percebe-se que a decisão trazida como paradigma não tem nenhuma semelhança fático-jurídica com o objeto deste demanda, impedindo o prosseguimento da apreciação do incidente de uniformização."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Ao exame dos embargos de declaração, o Presidente da TRUJEF os rejeitou, confirmando a decisão acima transcrita e consignando que a Turma Nacional de Uniformização havia firmado o entendimento de que não se conhece do incidente que visa analisar a situação de dependência, in </w:t>
      </w:r>
      <w:proofErr w:type="spellStart"/>
      <w:r>
        <w:rPr>
          <w:rFonts w:ascii="Arial" w:hAnsi="Arial" w:cs="Arial"/>
          <w:i/>
          <w:sz w:val="24"/>
          <w:szCs w:val="24"/>
          <w:shd w:val="clear" w:color="auto" w:fill="F8F8F8"/>
        </w:rPr>
        <w:t>verbis</w:t>
      </w:r>
      <w:proofErr w:type="spellEnd"/>
      <w:r>
        <w:rPr>
          <w:rFonts w:ascii="Arial" w:hAnsi="Arial" w:cs="Arial"/>
          <w:i/>
          <w:sz w:val="24"/>
          <w:szCs w:val="24"/>
          <w:shd w:val="clear" w:color="auto" w:fill="F8F8F8"/>
        </w:rPr>
        <w:t xml:space="preserve">: "INCIDENTE DE </w:t>
      </w:r>
      <w:proofErr w:type="spellStart"/>
      <w:proofErr w:type="gramStart"/>
      <w:r>
        <w:rPr>
          <w:rFonts w:ascii="Arial" w:hAnsi="Arial" w:cs="Arial"/>
          <w:i/>
          <w:sz w:val="24"/>
          <w:szCs w:val="24"/>
          <w:shd w:val="clear" w:color="auto" w:fill="F8F8F8"/>
        </w:rPr>
        <w:t>UNIFORMIZAçÃo</w:t>
      </w:r>
      <w:proofErr w:type="spellEnd"/>
      <w:proofErr w:type="gramEnd"/>
      <w:r>
        <w:rPr>
          <w:rFonts w:ascii="Arial" w:hAnsi="Arial" w:cs="Arial"/>
          <w:i/>
          <w:sz w:val="24"/>
          <w:szCs w:val="24"/>
          <w:shd w:val="clear" w:color="auto" w:fill="F8F8F8"/>
        </w:rPr>
        <w:t xml:space="preserve"> DA PARTE AUTORA. PREVIDENCIARIO. CONCESSÃO DE PENSÃO POR MORTE. QUALIDADE DE DEPENDENTE. REEXAME DE MATÉRIA FATICO-PROBATÓRIA. IMPOSSIBILIDADE. APLICAÇÃO DA SÚMULA N° 42. INCIDENTE WO CONHECIDO. (Pedido de Uniformização de Interpretação de lei (Turma) 5015225-07.2016.4.04.7100, FERNANDO MOREIRA GONÇALVES — TURMA NACIONAL DE UNIFORMIZAÇÃO)" (fls. 91/92).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Esse entendimento encontra-se em consonância com quanto decidido pela Presidência da Turma Recursal de origem, no sentido </w:t>
      </w:r>
      <w:r>
        <w:rPr>
          <w:rFonts w:ascii="Arial" w:hAnsi="Arial" w:cs="Arial"/>
          <w:i/>
          <w:sz w:val="24"/>
          <w:szCs w:val="24"/>
          <w:shd w:val="clear" w:color="auto" w:fill="F8F8F8"/>
        </w:rPr>
        <w:lastRenderedPageBreak/>
        <w:t>de que "Verifica-se que o acórdão dessa Turma Recursal julgou improcedente o pedido do recorrente, em razão deste não possuir qualidade de dependente do instituidor, por ser maior de 21 anos e</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não ser inválido. Por outro lado, o acórdão paradigma juntado consigna, em linhas gerais, pelo reconhecimento do direito ii pensão mensal vitalícia a seringueiro, sem a fixação de limite de idade </w:t>
      </w:r>
      <w:proofErr w:type="spellStart"/>
      <w:r>
        <w:rPr>
          <w:rFonts w:ascii="Arial" w:hAnsi="Arial" w:cs="Arial"/>
          <w:i/>
          <w:sz w:val="24"/>
          <w:szCs w:val="24"/>
          <w:shd w:val="clear" w:color="auto" w:fill="F8F8F8"/>
        </w:rPr>
        <w:t>minima</w:t>
      </w:r>
      <w:proofErr w:type="spellEnd"/>
      <w:r>
        <w:rPr>
          <w:rFonts w:ascii="Arial" w:hAnsi="Arial" w:cs="Arial"/>
          <w:i/>
          <w:sz w:val="24"/>
          <w:szCs w:val="24"/>
          <w:shd w:val="clear" w:color="auto" w:fill="F8F8F8"/>
        </w:rPr>
        <w:t xml:space="preserve">, cabendo ao julgador a interpretação da lei, dentro do limite legal."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Com efeito, o acórdão proferido pela Turma Recursal do Pará/Amapá decidiu a respeito da qualidade de dependente de filho de </w:t>
      </w:r>
      <w:proofErr w:type="spellStart"/>
      <w:r>
        <w:rPr>
          <w:rFonts w:ascii="Arial" w:hAnsi="Arial" w:cs="Arial"/>
          <w:i/>
          <w:sz w:val="24"/>
          <w:szCs w:val="24"/>
          <w:shd w:val="clear" w:color="auto" w:fill="F8F8F8"/>
        </w:rPr>
        <w:t>ex-seringueiro</w:t>
      </w:r>
      <w:proofErr w:type="spellEnd"/>
      <w:r>
        <w:rPr>
          <w:rFonts w:ascii="Arial" w:hAnsi="Arial" w:cs="Arial"/>
          <w:i/>
          <w:sz w:val="24"/>
          <w:szCs w:val="24"/>
          <w:shd w:val="clear" w:color="auto" w:fill="F8F8F8"/>
        </w:rPr>
        <w:t xml:space="preserve"> falecido, para fins de percepção de pensão mensal vitalícia, nos termos seguintes: "VISTOS, relatados e discutidos os autos, à unanimidade, ACORDAM os </w:t>
      </w:r>
      <w:proofErr w:type="spellStart"/>
      <w:r>
        <w:rPr>
          <w:rFonts w:ascii="Arial" w:hAnsi="Arial" w:cs="Arial"/>
          <w:i/>
          <w:sz w:val="24"/>
          <w:szCs w:val="24"/>
          <w:shd w:val="clear" w:color="auto" w:fill="F8F8F8"/>
        </w:rPr>
        <w:t>Juizes</w:t>
      </w:r>
      <w:proofErr w:type="spellEnd"/>
      <w:r>
        <w:rPr>
          <w:rFonts w:ascii="Arial" w:hAnsi="Arial" w:cs="Arial"/>
          <w:i/>
          <w:sz w:val="24"/>
          <w:szCs w:val="24"/>
          <w:shd w:val="clear" w:color="auto" w:fill="F8F8F8"/>
        </w:rPr>
        <w:t xml:space="preserve"> da Turma Recursal com sede na Seção Judiciária do Pará em NEGAR PROVIMENTO AO RECURSO para manter a sentença por seus próprios fundamentos, conforme voto oral </w:t>
      </w:r>
      <w:proofErr w:type="gramStart"/>
      <w:r>
        <w:rPr>
          <w:rFonts w:ascii="Arial" w:hAnsi="Arial" w:cs="Arial"/>
          <w:i/>
          <w:sz w:val="24"/>
          <w:szCs w:val="24"/>
          <w:shd w:val="clear" w:color="auto" w:fill="F8F8F8"/>
        </w:rPr>
        <w:t>do(</w:t>
      </w:r>
      <w:proofErr w:type="gramEnd"/>
      <w:r>
        <w:rPr>
          <w:rFonts w:ascii="Arial" w:hAnsi="Arial" w:cs="Arial"/>
          <w:i/>
          <w:sz w:val="24"/>
          <w:szCs w:val="24"/>
          <w:shd w:val="clear" w:color="auto" w:fill="F8F8F8"/>
        </w:rPr>
        <w:t xml:space="preserve">a) Juiz(a) Relator(a). Na ocasião, restou demonstrado que o autor não ostenta a qualidade de dependente do falecido, sobretudo por ser filho, maior de 21 anos de idade (fl. 10), não inválido, conforme atesta a  perícia médica judicial (fls. 57/60). Sem honorários e  sem custas. Acórdão lavrado na forma do art. 46 da Lei n° 9.099/95."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Por seu turno, o acórdão trazido como paradigma da divergência jurisprudencial suscitada no pedido de uniformização, oriundo da Turma Regional de Uniformização de Jurisprudência da 1a Região, cuida de situação diversa. Conforme se observa da transcrição do julgado nas razões recursais, no referido feito discutia-se a não exigência de idade mínima para a concessão de pensão vitalícia a seringueiro, sobretudo em face da realidade do inicio precoce dos indivíduos no trabalho de extração de látex em seringais. Vejamos: "3. A</w:t>
      </w:r>
      <w:proofErr w:type="gramStart"/>
      <w:r>
        <w:rPr>
          <w:rFonts w:ascii="Arial" w:hAnsi="Arial" w:cs="Arial"/>
          <w:i/>
          <w:sz w:val="24"/>
          <w:szCs w:val="24"/>
          <w:shd w:val="clear" w:color="auto" w:fill="F8F8F8"/>
        </w:rPr>
        <w:t xml:space="preserve">  </w:t>
      </w:r>
      <w:proofErr w:type="gramEnd"/>
      <w:r>
        <w:rPr>
          <w:rFonts w:ascii="Arial" w:hAnsi="Arial" w:cs="Arial"/>
          <w:i/>
          <w:sz w:val="24"/>
          <w:szCs w:val="24"/>
          <w:shd w:val="clear" w:color="auto" w:fill="F8F8F8"/>
        </w:rPr>
        <w:t xml:space="preserve">questão da idade do postulante na época da prestação de serviço se reporta ao entendimento de que as famílias de pessoas carentes utilizam-se de seus membros como força de trabalho, sendo comum que filhos trabalhem em conjunto com os pais auxiliando-os em busca da subsistência e  do aumento da renda familiar." (fl. 64) e "As normas que estabeleceram a  renda mensal vitalícia não fixaram limite de idade </w:t>
      </w:r>
      <w:proofErr w:type="spellStart"/>
      <w:r>
        <w:rPr>
          <w:rFonts w:ascii="Arial" w:hAnsi="Arial" w:cs="Arial"/>
          <w:i/>
          <w:sz w:val="24"/>
          <w:szCs w:val="24"/>
          <w:shd w:val="clear" w:color="auto" w:fill="F8F8F8"/>
        </w:rPr>
        <w:t>minima</w:t>
      </w:r>
      <w:proofErr w:type="spellEnd"/>
      <w:r>
        <w:rPr>
          <w:rFonts w:ascii="Arial" w:hAnsi="Arial" w:cs="Arial"/>
          <w:i/>
          <w:sz w:val="24"/>
          <w:szCs w:val="24"/>
          <w:shd w:val="clear" w:color="auto" w:fill="F8F8F8"/>
        </w:rPr>
        <w:t xml:space="preserve">, sendo que a restrição do conteúdo normativo por interpretação do julgador constitui violação do princípio da reserva legal (art. 50,II, da Constituição Federal), vedado pelo ordenamento jurídico." (fl. 66) (PUIF n° 905912010401320 — TRUJEF).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 xml:space="preserve">Assim, não se vislumbra a existência sequer de equivoco na decisão impetrada, muito menos se podendo cogitar da hipótese de </w:t>
      </w:r>
      <w:r>
        <w:rPr>
          <w:rFonts w:ascii="Arial" w:hAnsi="Arial" w:cs="Arial"/>
          <w:i/>
          <w:sz w:val="24"/>
          <w:szCs w:val="24"/>
          <w:shd w:val="clear" w:color="auto" w:fill="F8F8F8"/>
        </w:rPr>
        <w:lastRenderedPageBreak/>
        <w:t>teratologia (</w:t>
      </w:r>
      <w:proofErr w:type="spellStart"/>
      <w:r>
        <w:rPr>
          <w:rFonts w:ascii="Arial" w:hAnsi="Arial" w:cs="Arial"/>
          <w:i/>
          <w:sz w:val="24"/>
          <w:szCs w:val="24"/>
          <w:shd w:val="clear" w:color="auto" w:fill="F8F8F8"/>
        </w:rPr>
        <w:t>decisum</w:t>
      </w:r>
      <w:proofErr w:type="spellEnd"/>
      <w:r>
        <w:rPr>
          <w:rFonts w:ascii="Arial" w:hAnsi="Arial" w:cs="Arial"/>
          <w:i/>
          <w:sz w:val="24"/>
          <w:szCs w:val="24"/>
          <w:shd w:val="clear" w:color="auto" w:fill="F8F8F8"/>
        </w:rPr>
        <w:t xml:space="preserve"> excessivamente errado, manifestamente ilegal, uma verdadeira aberração jurídica) no feito originário. </w:t>
      </w:r>
    </w:p>
    <w:p w:rsidR="006B34F8" w:rsidRDefault="006B34F8" w:rsidP="006B34F8">
      <w:pPr>
        <w:ind w:left="1134"/>
        <w:jc w:val="both"/>
        <w:rPr>
          <w:rFonts w:ascii="Arial" w:hAnsi="Arial" w:cs="Arial"/>
          <w:i/>
          <w:sz w:val="24"/>
          <w:szCs w:val="24"/>
          <w:shd w:val="clear" w:color="auto" w:fill="F8F8F8"/>
        </w:rPr>
      </w:pPr>
      <w:r>
        <w:rPr>
          <w:rFonts w:ascii="Arial" w:hAnsi="Arial" w:cs="Arial"/>
          <w:i/>
          <w:sz w:val="24"/>
          <w:szCs w:val="24"/>
          <w:shd w:val="clear" w:color="auto" w:fill="F8F8F8"/>
        </w:rPr>
        <w:t>Destarte, ante a ausência de requisitos para a propositura da ação mandamental, a providência que se impõe é o INDEFERIMENTO da petição inicial, nos termos do art. 10 da lei 12.016/2009.</w:t>
      </w:r>
      <w:proofErr w:type="gramStart"/>
      <w:r>
        <w:rPr>
          <w:rFonts w:ascii="Arial" w:hAnsi="Arial" w:cs="Arial"/>
          <w:i/>
          <w:sz w:val="24"/>
          <w:szCs w:val="24"/>
          <w:shd w:val="clear" w:color="auto" w:fill="F8F8F8"/>
        </w:rPr>
        <w:t>”</w:t>
      </w:r>
      <w:proofErr w:type="gramEnd"/>
    </w:p>
    <w:p w:rsidR="006B34F8" w:rsidRDefault="006B34F8" w:rsidP="006B34F8">
      <w:pPr>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r>
        <w:rPr>
          <w:rFonts w:ascii="Arial" w:hAnsi="Arial" w:cs="Arial"/>
          <w:sz w:val="24"/>
          <w:szCs w:val="24"/>
        </w:rPr>
        <w:t xml:space="preserve">Sustenta que: </w:t>
      </w:r>
      <w:proofErr w:type="gramStart"/>
      <w:r>
        <w:rPr>
          <w:rFonts w:ascii="Arial" w:hAnsi="Arial" w:cs="Arial"/>
          <w:i/>
          <w:sz w:val="24"/>
          <w:szCs w:val="24"/>
        </w:rPr>
        <w:t xml:space="preserve">“ </w:t>
      </w:r>
      <w:proofErr w:type="gramEnd"/>
      <w:r>
        <w:rPr>
          <w:rFonts w:ascii="Arial" w:hAnsi="Arial" w:cs="Arial"/>
          <w:i/>
          <w:sz w:val="24"/>
          <w:szCs w:val="24"/>
        </w:rPr>
        <w:t xml:space="preserve">(...)Segundo a N. Relatora, a decisão de negativa de seguimento ao Incidente de Uniformização não apresentou equivoco ou caráter teratológico. Ocorre que a decisão em foco contraria o que dispõem os entendimentos jurisprudenciais das Turmas Recursais da regido amazônica e desta Turma Regional de Uniformização, e para tanto fora apresentando acórdão paradigma similar a matéria discutida no acórdão impugnado. O acórdão proferido pela Turma Recursal do Park ao contrário do que dispõe a jurisprudência desta Turma, manteve sentença de improcedência de primeiro grau ao argumento de que não restou demonstrada a condição de dependente do Agravante para com seu genitor, beneficiário de pensão mensal vitalícia de seringueiro, em vista da maioridade civil e não comprovação da invalidez do Requerente, utilizando como fundamentos a Lei n. 8.213/91 e não o artigo 54 do ADCT/CF 88. Esta Turma Regional de Uniformização cumprindo a função interpretativa da lei, firmou o posicionamento jurisprudencial de que irrelevante a idade do dependente à percepção de beneficio de pensão mensal vitalícia de seringueiro em face do Principio da Reserva Legal, acórdão paradigma apresentado no Incidente de Uniformização... (...)Ademais, dispõe o parágrafo 2° do artigo 54, do ADCT/CF de 88 que os benefícios de pensão mensal vitalícia são transferíveis aos dependentes reconhecidamente carentes, sendo perfeitamente cabível a concessão do beneficio pleiteado ao filho dependente, maior de idade e não inválido. (...)Assim, percebe-se o equivoco no acórdão que manteve a sentença, pois, deixou explicito que diverge do posicionamento dos órgãos máximos uniformizadores de jurisprudência, quando considerou a idade do Autor — maior de 21 anos — para excluir a condição de dependência econômica para com o instituidor da pensão mensal vitalícia de seringueiro, contrariando assim precedentes jurisprudenciais de órgãos especiais, a própria Constituição Federal, a legislação ordinária e o entendimento </w:t>
      </w:r>
      <w:proofErr w:type="gramStart"/>
      <w:r>
        <w:rPr>
          <w:rFonts w:ascii="Arial" w:hAnsi="Arial" w:cs="Arial"/>
          <w:i/>
          <w:sz w:val="24"/>
          <w:szCs w:val="24"/>
        </w:rPr>
        <w:t>doutrinário</w:t>
      </w:r>
      <w:proofErr w:type="gramEnd"/>
      <w:r>
        <w:rPr>
          <w:rFonts w:ascii="Arial" w:hAnsi="Arial" w:cs="Arial"/>
          <w:i/>
          <w:sz w:val="24"/>
          <w:szCs w:val="24"/>
        </w:rPr>
        <w:t xml:space="preserve"> especializado no assunto.” </w:t>
      </w:r>
      <w:r>
        <w:rPr>
          <w:rFonts w:ascii="Arial" w:hAnsi="Arial" w:cs="Arial"/>
          <w:sz w:val="24"/>
          <w:szCs w:val="24"/>
        </w:rPr>
        <w:t xml:space="preserve">Diz que: </w:t>
      </w:r>
      <w:r>
        <w:rPr>
          <w:rFonts w:ascii="Arial" w:hAnsi="Arial" w:cs="Arial"/>
          <w:i/>
          <w:sz w:val="24"/>
          <w:szCs w:val="24"/>
        </w:rPr>
        <w:t xml:space="preserve">“Foi demonstrada a similitude </w:t>
      </w:r>
      <w:proofErr w:type="spellStart"/>
      <w:r>
        <w:rPr>
          <w:rFonts w:ascii="Arial" w:hAnsi="Arial" w:cs="Arial"/>
          <w:i/>
          <w:sz w:val="24"/>
          <w:szCs w:val="24"/>
        </w:rPr>
        <w:t>fatico-jurídica</w:t>
      </w:r>
      <w:proofErr w:type="spellEnd"/>
      <w:r>
        <w:rPr>
          <w:rFonts w:ascii="Arial" w:hAnsi="Arial" w:cs="Arial"/>
          <w:i/>
          <w:sz w:val="24"/>
          <w:szCs w:val="24"/>
        </w:rPr>
        <w:t xml:space="preserve"> entre o acórdão paradigma e o acórdão impugnado. O caso paradigma trata de pensão mensal vitalícia de seringueiro e firma a tese de que para a transferência do mencionado beneficio ao filho dependente não há necessidade de que o mesmo seja menor de idade ou ainda, que seja incapaz para o labor, mas tão somente que seja pessoa carente, dependente economicamente daquele beneficio, ou seja, hipossuficiente. Enquanto o acórdão recorrido trata de pensão mensal vitalícia de seringueiro negada ao Agravante mesmo após o Laudo Socioeconômico constatar que se trata de pessoa hipossuficiente, somente pelo fato do Autor ser maior de 21 anos e não invalido, ou seja, estabeleceu uma idade para a percepção do beneficio pleiteado (menor de 21 anos) que não faz parte dos requisitos legais.” </w:t>
      </w:r>
      <w:r>
        <w:rPr>
          <w:rFonts w:ascii="Arial" w:hAnsi="Arial" w:cs="Arial"/>
          <w:sz w:val="24"/>
          <w:szCs w:val="24"/>
        </w:rPr>
        <w:t>Pede, ao</w:t>
      </w:r>
      <w:proofErr w:type="gramStart"/>
      <w:r>
        <w:rPr>
          <w:rFonts w:ascii="Arial" w:hAnsi="Arial" w:cs="Arial"/>
          <w:sz w:val="24"/>
          <w:szCs w:val="24"/>
        </w:rPr>
        <w:t xml:space="preserve">  </w:t>
      </w:r>
      <w:proofErr w:type="gramEnd"/>
      <w:r>
        <w:rPr>
          <w:rFonts w:ascii="Arial" w:hAnsi="Arial" w:cs="Arial"/>
          <w:sz w:val="24"/>
          <w:szCs w:val="24"/>
        </w:rPr>
        <w:t xml:space="preserve">final, que: </w:t>
      </w:r>
      <w:r>
        <w:rPr>
          <w:rFonts w:ascii="Arial" w:hAnsi="Arial" w:cs="Arial"/>
          <w:i/>
          <w:sz w:val="24"/>
          <w:szCs w:val="24"/>
        </w:rPr>
        <w:t xml:space="preserve">“...sejam acolhidas As inclusas razões, alicerçado nos termos do art. 95 do Regimento Interno da Turma Regional de Uniformização, requer, caso </w:t>
      </w:r>
      <w:r>
        <w:rPr>
          <w:rFonts w:ascii="Arial" w:hAnsi="Arial" w:cs="Arial"/>
          <w:i/>
          <w:sz w:val="24"/>
          <w:szCs w:val="24"/>
        </w:rPr>
        <w:lastRenderedPageBreak/>
        <w:t>não haja retratação pela N. Relatora, seja revista a decisão agravada e devidamente apresentado o processo em mesa, de forma a se garantir a análise e julgamento do Agravo e incidente por essa nobre Turma Regional de Uniformização.”</w:t>
      </w:r>
    </w:p>
    <w:p w:rsidR="006B34F8" w:rsidRDefault="006B34F8" w:rsidP="006B34F8">
      <w:pPr>
        <w:autoSpaceDE w:val="0"/>
        <w:autoSpaceDN w:val="0"/>
        <w:adjustRightInd w:val="0"/>
        <w:spacing w:after="0" w:line="240" w:lineRule="auto"/>
        <w:ind w:firstLine="1418"/>
        <w:jc w:val="both"/>
        <w:rPr>
          <w:rFonts w:ascii="Arial" w:hAnsi="Arial" w:cs="Arial"/>
          <w:i/>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r>
        <w:rPr>
          <w:rFonts w:ascii="Arial" w:hAnsi="Arial" w:cs="Arial"/>
          <w:sz w:val="24"/>
          <w:szCs w:val="24"/>
        </w:rPr>
        <w:t xml:space="preserve">É o Relatório. </w:t>
      </w: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center"/>
        <w:rPr>
          <w:rFonts w:ascii="Arial" w:hAnsi="Arial" w:cs="Arial"/>
          <w:b/>
          <w:sz w:val="24"/>
          <w:szCs w:val="24"/>
          <w:u w:val="single"/>
        </w:rPr>
      </w:pPr>
    </w:p>
    <w:p w:rsidR="006B34F8" w:rsidRDefault="006B34F8" w:rsidP="006B34F8">
      <w:pPr>
        <w:autoSpaceDE w:val="0"/>
        <w:autoSpaceDN w:val="0"/>
        <w:adjustRightInd w:val="0"/>
        <w:spacing w:after="0" w:line="240" w:lineRule="auto"/>
        <w:ind w:firstLine="1418"/>
        <w:jc w:val="center"/>
        <w:rPr>
          <w:rFonts w:ascii="Arial" w:hAnsi="Arial" w:cs="Arial"/>
          <w:b/>
          <w:sz w:val="24"/>
          <w:szCs w:val="24"/>
          <w:u w:val="single"/>
        </w:rPr>
      </w:pPr>
    </w:p>
    <w:p w:rsidR="006B34F8" w:rsidRDefault="006B34F8" w:rsidP="006B34F8">
      <w:pPr>
        <w:autoSpaceDE w:val="0"/>
        <w:autoSpaceDN w:val="0"/>
        <w:adjustRightInd w:val="0"/>
        <w:spacing w:after="0" w:line="240" w:lineRule="auto"/>
        <w:ind w:firstLine="1418"/>
        <w:jc w:val="center"/>
        <w:rPr>
          <w:rFonts w:ascii="Arial" w:hAnsi="Arial" w:cs="Arial"/>
          <w:b/>
          <w:sz w:val="24"/>
          <w:szCs w:val="24"/>
          <w:u w:val="single"/>
        </w:rPr>
      </w:pPr>
    </w:p>
    <w:p w:rsidR="006B34F8" w:rsidRDefault="006B34F8" w:rsidP="006B34F8">
      <w:pPr>
        <w:autoSpaceDE w:val="0"/>
        <w:autoSpaceDN w:val="0"/>
        <w:adjustRightInd w:val="0"/>
        <w:spacing w:after="0" w:line="240" w:lineRule="auto"/>
        <w:ind w:firstLine="1418"/>
        <w:jc w:val="center"/>
        <w:rPr>
          <w:rFonts w:ascii="Arial" w:hAnsi="Arial" w:cs="Arial"/>
          <w:b/>
          <w:sz w:val="24"/>
          <w:szCs w:val="24"/>
          <w:u w:val="single"/>
        </w:rPr>
      </w:pPr>
      <w:r>
        <w:rPr>
          <w:rFonts w:ascii="Arial" w:hAnsi="Arial" w:cs="Arial"/>
          <w:b/>
          <w:sz w:val="24"/>
          <w:szCs w:val="24"/>
          <w:u w:val="single"/>
        </w:rPr>
        <w:t>VOTO</w:t>
      </w: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r>
        <w:rPr>
          <w:rFonts w:ascii="Arial" w:hAnsi="Arial" w:cs="Arial"/>
          <w:sz w:val="24"/>
          <w:szCs w:val="24"/>
        </w:rPr>
        <w:t xml:space="preserve">De fato, é o caso de indeferimento liminar do presente </w:t>
      </w:r>
      <w:r>
        <w:rPr>
          <w:rFonts w:ascii="Arial" w:hAnsi="Arial" w:cs="Arial"/>
          <w:i/>
          <w:sz w:val="24"/>
          <w:szCs w:val="24"/>
        </w:rPr>
        <w:t xml:space="preserve">writ. </w:t>
      </w:r>
      <w:r>
        <w:rPr>
          <w:rFonts w:ascii="Arial" w:hAnsi="Arial" w:cs="Arial"/>
          <w:sz w:val="24"/>
          <w:szCs w:val="24"/>
        </w:rPr>
        <w:t>Não há decisão teratológica a reclamar a impetração. Já na decisão do Juiz Presidente da Turma Recursal de origem, ao inadmitir o Pedido de Uniformização Regional, foi dito:</w:t>
      </w:r>
    </w:p>
    <w:p w:rsidR="006B34F8" w:rsidRDefault="006B34F8" w:rsidP="006B34F8">
      <w:pPr>
        <w:autoSpaceDE w:val="0"/>
        <w:autoSpaceDN w:val="0"/>
        <w:adjustRightInd w:val="0"/>
        <w:spacing w:after="0" w:line="240" w:lineRule="auto"/>
        <w:ind w:firstLine="1418"/>
        <w:jc w:val="both"/>
        <w:rPr>
          <w:rFonts w:ascii="Arial" w:hAnsi="Arial" w:cs="Arial"/>
          <w:i/>
          <w:sz w:val="24"/>
          <w:szCs w:val="24"/>
        </w:rPr>
      </w:pPr>
      <w:r>
        <w:rPr>
          <w:rFonts w:ascii="Arial" w:hAnsi="Arial" w:cs="Arial"/>
          <w:i/>
          <w:sz w:val="24"/>
          <w:szCs w:val="24"/>
        </w:rPr>
        <w:t xml:space="preserve">“O presente incidente de uniformização não merece ultrapassar sua fase de admissibilidade. Verifica-se que o acórdão desta Turma Recursal julgou improcedente o pedido do recorrente, em razão deste não possuir qualidade de dependente do instituidor, por ser maior de 21 anos e não ser inválido. Por outro lado, o acórdão paradigma juntado consigna, em linhas gerais, pelo reconhecimento do direito á pensão mensal vitalícia de seringueiro, sem a fixação de limite de idade </w:t>
      </w:r>
      <w:proofErr w:type="spellStart"/>
      <w:r>
        <w:rPr>
          <w:rFonts w:ascii="Arial" w:hAnsi="Arial" w:cs="Arial"/>
          <w:i/>
          <w:sz w:val="24"/>
          <w:szCs w:val="24"/>
        </w:rPr>
        <w:t>minima</w:t>
      </w:r>
      <w:proofErr w:type="spellEnd"/>
      <w:r>
        <w:rPr>
          <w:rFonts w:ascii="Arial" w:hAnsi="Arial" w:cs="Arial"/>
          <w:i/>
          <w:sz w:val="24"/>
          <w:szCs w:val="24"/>
        </w:rPr>
        <w:t xml:space="preserve">, cabendo ao julgador </w:t>
      </w:r>
      <w:proofErr w:type="gramStart"/>
      <w:r>
        <w:rPr>
          <w:rFonts w:ascii="Arial" w:hAnsi="Arial" w:cs="Arial"/>
          <w:i/>
          <w:sz w:val="24"/>
          <w:szCs w:val="24"/>
        </w:rPr>
        <w:t>a</w:t>
      </w:r>
      <w:proofErr w:type="gramEnd"/>
      <w:r>
        <w:rPr>
          <w:rFonts w:ascii="Arial" w:hAnsi="Arial" w:cs="Arial"/>
          <w:i/>
          <w:sz w:val="24"/>
          <w:szCs w:val="24"/>
        </w:rPr>
        <w:t xml:space="preserve"> interpretação da lei, dentro do limite legal. Sob este contexto, percebe-se que o acórdão colacionado pelo recorrente encontra-se em dissonância com a matéria fático-jurídica tratada nos presentes autos, uma vez que a questão de fato debatida é diversa. 0 acórdão impugnado julgou improcedente o pedido pela não condição de dependente do autor, fato este não tratado diretamente no paradigma. Importante frisar que para a existência da divergência, necessária para conhecimento do Incidente de Uniformização, é essencial que entre o acórdão impugnado e o paradigma haja idêntica base fática, sob pena de ocasionar distorção na uniformização pretendida.”</w:t>
      </w: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autoSpaceDE w:val="0"/>
        <w:autoSpaceDN w:val="0"/>
        <w:adjustRightInd w:val="0"/>
        <w:spacing w:after="0" w:line="240" w:lineRule="auto"/>
        <w:ind w:firstLine="1418"/>
        <w:jc w:val="both"/>
        <w:rPr>
          <w:rFonts w:ascii="Arial" w:hAnsi="Arial" w:cs="Arial"/>
          <w:sz w:val="24"/>
          <w:szCs w:val="24"/>
        </w:rPr>
      </w:pPr>
      <w:r>
        <w:rPr>
          <w:rFonts w:ascii="Arial" w:hAnsi="Arial" w:cs="Arial"/>
          <w:sz w:val="24"/>
          <w:szCs w:val="24"/>
        </w:rPr>
        <w:t>Conforme se observa das razões da decisão agravada, que</w:t>
      </w:r>
      <w:proofErr w:type="gramStart"/>
      <w:r>
        <w:rPr>
          <w:rFonts w:ascii="Arial" w:hAnsi="Arial" w:cs="Arial"/>
          <w:sz w:val="24"/>
          <w:szCs w:val="24"/>
        </w:rPr>
        <w:t xml:space="preserve">  </w:t>
      </w:r>
      <w:proofErr w:type="gramEnd"/>
      <w:r>
        <w:rPr>
          <w:rFonts w:ascii="Arial" w:hAnsi="Arial" w:cs="Arial"/>
          <w:sz w:val="24"/>
          <w:szCs w:val="24"/>
        </w:rPr>
        <w:t>indeferiu o presente mandado de segurança:</w:t>
      </w:r>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ind w:left="1134"/>
        <w:jc w:val="both"/>
        <w:rPr>
          <w:rFonts w:ascii="Arial" w:hAnsi="Arial" w:cs="Arial"/>
          <w:i/>
          <w:sz w:val="24"/>
          <w:szCs w:val="24"/>
          <w:shd w:val="clear" w:color="auto" w:fill="F8F8F8"/>
        </w:rPr>
      </w:pPr>
      <w:proofErr w:type="gramStart"/>
      <w:r>
        <w:rPr>
          <w:rFonts w:ascii="Arial" w:hAnsi="Arial" w:cs="Arial"/>
          <w:i/>
          <w:sz w:val="24"/>
          <w:szCs w:val="24"/>
          <w:shd w:val="clear" w:color="auto" w:fill="F8F8F8"/>
        </w:rPr>
        <w:t>“(...)</w:t>
      </w:r>
    </w:p>
    <w:p w:rsidR="006B34F8" w:rsidRDefault="006B34F8" w:rsidP="006B34F8">
      <w:pPr>
        <w:ind w:left="1134"/>
        <w:jc w:val="both"/>
        <w:rPr>
          <w:rFonts w:ascii="Arial" w:hAnsi="Arial" w:cs="Arial"/>
          <w:i/>
          <w:sz w:val="24"/>
          <w:szCs w:val="24"/>
          <w:shd w:val="clear" w:color="auto" w:fill="F8F8F8"/>
        </w:rPr>
      </w:pPr>
      <w:proofErr w:type="gramEnd"/>
      <w:r>
        <w:rPr>
          <w:rFonts w:ascii="Arial" w:hAnsi="Arial" w:cs="Arial"/>
          <w:i/>
          <w:sz w:val="24"/>
          <w:szCs w:val="24"/>
          <w:shd w:val="clear" w:color="auto" w:fill="F8F8F8"/>
        </w:rPr>
        <w:t xml:space="preserve">Com efeito, o acórdão proferido pela Turma Recursal do Pará/Amapá decidiu a respeito da qualidade de dependente de filho de </w:t>
      </w:r>
      <w:proofErr w:type="spellStart"/>
      <w:r>
        <w:rPr>
          <w:rFonts w:ascii="Arial" w:hAnsi="Arial" w:cs="Arial"/>
          <w:i/>
          <w:sz w:val="24"/>
          <w:szCs w:val="24"/>
          <w:shd w:val="clear" w:color="auto" w:fill="F8F8F8"/>
        </w:rPr>
        <w:t>ex-seringueiro</w:t>
      </w:r>
      <w:proofErr w:type="spellEnd"/>
      <w:r>
        <w:rPr>
          <w:rFonts w:ascii="Arial" w:hAnsi="Arial" w:cs="Arial"/>
          <w:i/>
          <w:sz w:val="24"/>
          <w:szCs w:val="24"/>
          <w:shd w:val="clear" w:color="auto" w:fill="F8F8F8"/>
        </w:rPr>
        <w:t xml:space="preserve"> falecido, para fins de percepção de pensão mensal vitalícia, nos termos seguintes: "VISTOS, relatados e discutidos os autos, à unanimidade, ACORDAM os </w:t>
      </w:r>
      <w:proofErr w:type="spellStart"/>
      <w:r>
        <w:rPr>
          <w:rFonts w:ascii="Arial" w:hAnsi="Arial" w:cs="Arial"/>
          <w:i/>
          <w:sz w:val="24"/>
          <w:szCs w:val="24"/>
          <w:shd w:val="clear" w:color="auto" w:fill="F8F8F8"/>
        </w:rPr>
        <w:t>Juizes</w:t>
      </w:r>
      <w:proofErr w:type="spellEnd"/>
      <w:r>
        <w:rPr>
          <w:rFonts w:ascii="Arial" w:hAnsi="Arial" w:cs="Arial"/>
          <w:i/>
          <w:sz w:val="24"/>
          <w:szCs w:val="24"/>
          <w:shd w:val="clear" w:color="auto" w:fill="F8F8F8"/>
        </w:rPr>
        <w:t xml:space="preserve"> da Turma Recursal com sede na Seção Judiciária do Pará em NEGAR PROVIMENTO AO RECURSO para manter a sentença por seus próprios fundamentos, conforme voto oral </w:t>
      </w:r>
      <w:proofErr w:type="gramStart"/>
      <w:r>
        <w:rPr>
          <w:rFonts w:ascii="Arial" w:hAnsi="Arial" w:cs="Arial"/>
          <w:i/>
          <w:sz w:val="24"/>
          <w:szCs w:val="24"/>
          <w:shd w:val="clear" w:color="auto" w:fill="F8F8F8"/>
        </w:rPr>
        <w:t>do(</w:t>
      </w:r>
      <w:proofErr w:type="gramEnd"/>
      <w:r>
        <w:rPr>
          <w:rFonts w:ascii="Arial" w:hAnsi="Arial" w:cs="Arial"/>
          <w:i/>
          <w:sz w:val="24"/>
          <w:szCs w:val="24"/>
          <w:shd w:val="clear" w:color="auto" w:fill="F8F8F8"/>
        </w:rPr>
        <w:t xml:space="preserve">a) Juiz(a) Relator(a). Na ocasião, restou demonstrado que o autor não ostenta a qualidade de dependente do </w:t>
      </w:r>
      <w:r>
        <w:rPr>
          <w:rFonts w:ascii="Arial" w:hAnsi="Arial" w:cs="Arial"/>
          <w:i/>
          <w:sz w:val="24"/>
          <w:szCs w:val="24"/>
          <w:shd w:val="clear" w:color="auto" w:fill="F8F8F8"/>
        </w:rPr>
        <w:lastRenderedPageBreak/>
        <w:t>falecido, sobretudo por ser filho, maior de 21 anos de idade (fl. 10), não inválido, conforme atesta a  perícia médica judicial (fls. 57/60). Sem honorários e  sem custas. Acórdão lavrado na forma do art. 46 da Lei n° 9.099/95.</w:t>
      </w:r>
    </w:p>
    <w:p w:rsidR="006B34F8" w:rsidRDefault="006B34F8" w:rsidP="006B34F8">
      <w:pPr>
        <w:autoSpaceDE w:val="0"/>
        <w:autoSpaceDN w:val="0"/>
        <w:adjustRightInd w:val="0"/>
        <w:spacing w:after="0" w:line="240" w:lineRule="auto"/>
        <w:ind w:left="1134"/>
        <w:jc w:val="both"/>
        <w:rPr>
          <w:rFonts w:ascii="Arial" w:hAnsi="Arial" w:cs="Arial"/>
          <w:sz w:val="24"/>
          <w:szCs w:val="24"/>
        </w:rPr>
      </w:pPr>
      <w:r>
        <w:rPr>
          <w:rFonts w:ascii="Arial" w:hAnsi="Arial" w:cs="Arial"/>
          <w:i/>
          <w:sz w:val="24"/>
          <w:szCs w:val="24"/>
          <w:shd w:val="clear" w:color="auto" w:fill="F8F8F8"/>
        </w:rPr>
        <w:t>Por seu turno, o acórdão trazido como paradigma da divergência jurisprudencial suscitada no pedido de uniformização, oriundo da Turma Regional de Uniformização de Jurisprudência da 1a Região, cuida de situação diversa. Conforme se observa da transcrição do julgado nas razões recursais, no referido feito discutia-se a não exigência de idade mínima para a concessão de pensão vitalícia a seringueiro, sobretudo em face da realidade do inicio precoce dos indivíduos no trabalho de extração de látex em seringais. (</w:t>
      </w:r>
      <w:proofErr w:type="gramStart"/>
      <w:r>
        <w:rPr>
          <w:rFonts w:ascii="Arial" w:hAnsi="Arial" w:cs="Arial"/>
          <w:i/>
          <w:sz w:val="24"/>
          <w:szCs w:val="24"/>
          <w:shd w:val="clear" w:color="auto" w:fill="F8F8F8"/>
        </w:rPr>
        <w:t>...)”</w:t>
      </w:r>
      <w:proofErr w:type="gramEnd"/>
    </w:p>
    <w:p w:rsidR="006B34F8" w:rsidRDefault="006B34F8" w:rsidP="006B34F8">
      <w:pPr>
        <w:autoSpaceDE w:val="0"/>
        <w:autoSpaceDN w:val="0"/>
        <w:adjustRightInd w:val="0"/>
        <w:spacing w:after="0" w:line="240" w:lineRule="auto"/>
        <w:ind w:firstLine="1418"/>
        <w:jc w:val="both"/>
        <w:rPr>
          <w:rFonts w:ascii="Arial" w:hAnsi="Arial" w:cs="Arial"/>
          <w:sz w:val="24"/>
          <w:szCs w:val="24"/>
        </w:rPr>
      </w:pPr>
    </w:p>
    <w:p w:rsidR="006B34F8" w:rsidRDefault="006B34F8" w:rsidP="006B34F8">
      <w:pPr>
        <w:pStyle w:val="Recuodecorpodetexto"/>
        <w:ind w:left="0" w:right="-2" w:firstLine="1418"/>
        <w:jc w:val="both"/>
        <w:rPr>
          <w:rFonts w:ascii="Arial" w:hAnsi="Arial" w:cs="Arial"/>
          <w:color w:val="000000"/>
          <w:sz w:val="24"/>
        </w:rPr>
      </w:pPr>
      <w:r>
        <w:rPr>
          <w:rFonts w:ascii="Arial" w:hAnsi="Arial" w:cs="Arial"/>
          <w:color w:val="000000"/>
          <w:sz w:val="24"/>
        </w:rPr>
        <w:t xml:space="preserve">Diante do exposto, NEGO PROVIMENTO AO AGRAVO REGIMENTAL. </w:t>
      </w:r>
    </w:p>
    <w:p w:rsidR="006B34F8" w:rsidRDefault="006B34F8" w:rsidP="006B34F8">
      <w:pPr>
        <w:pStyle w:val="Recuodecorpodetexto"/>
        <w:ind w:left="0" w:right="-2" w:firstLine="1418"/>
        <w:jc w:val="both"/>
        <w:rPr>
          <w:rFonts w:ascii="Arial" w:hAnsi="Arial" w:cs="Arial"/>
          <w:color w:val="000000"/>
          <w:sz w:val="24"/>
        </w:rPr>
      </w:pPr>
      <w:r>
        <w:rPr>
          <w:rFonts w:ascii="Arial" w:hAnsi="Arial" w:cs="Arial"/>
          <w:color w:val="000000"/>
          <w:sz w:val="24"/>
        </w:rPr>
        <w:t xml:space="preserve">É O VOTO. </w:t>
      </w:r>
    </w:p>
    <w:p w:rsidR="006B34F8" w:rsidRDefault="006B34F8" w:rsidP="006B34F8">
      <w:pPr>
        <w:pStyle w:val="Recuodecorpodetexto"/>
        <w:ind w:left="0" w:right="-2" w:firstLine="1418"/>
        <w:jc w:val="both"/>
        <w:rPr>
          <w:rFonts w:ascii="Arial" w:hAnsi="Arial" w:cs="Arial"/>
          <w:color w:val="000000"/>
          <w:sz w:val="24"/>
        </w:rPr>
      </w:pPr>
    </w:p>
    <w:p w:rsidR="008D672F" w:rsidRDefault="008D672F" w:rsidP="008D672F">
      <w:pPr>
        <w:pStyle w:val="assinatura"/>
      </w:pPr>
      <w:r>
        <w:t>LILIAN OLIVEIRA DA COSTA TOURINHO</w:t>
      </w:r>
    </w:p>
    <w:p w:rsidR="008D672F" w:rsidRDefault="008D672F" w:rsidP="008D672F">
      <w:pPr>
        <w:pStyle w:val="assinatura"/>
      </w:pPr>
      <w:r>
        <w:t>Juíza Federal Relatora da Turma Regional de</w:t>
      </w:r>
    </w:p>
    <w:p w:rsidR="008D672F" w:rsidRPr="00C37F27" w:rsidRDefault="008D672F" w:rsidP="008D672F">
      <w:pPr>
        <w:pStyle w:val="assinatura"/>
      </w:pPr>
      <w:r>
        <w:t>Uniformização de Jurisprudência da 1ª Região</w:t>
      </w:r>
    </w:p>
    <w:p w:rsidR="006B34F8" w:rsidRDefault="006B34F8" w:rsidP="006B34F8">
      <w:pPr>
        <w:spacing w:before="100" w:beforeAutospacing="1" w:after="100" w:afterAutospacing="1"/>
        <w:jc w:val="center"/>
        <w:rPr>
          <w:rFonts w:ascii="Arial" w:hAnsi="Arial" w:cs="Arial"/>
          <w:b/>
          <w:color w:val="000000"/>
          <w:sz w:val="24"/>
          <w:u w:val="single"/>
        </w:rPr>
      </w:pPr>
    </w:p>
    <w:p w:rsidR="00241946" w:rsidRDefault="00241946"/>
    <w:sectPr w:rsidR="00241946" w:rsidSect="0024194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B34F8"/>
    <w:rsid w:val="00241946"/>
    <w:rsid w:val="006B34F8"/>
    <w:rsid w:val="008D672F"/>
    <w:rsid w:val="00F8133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F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6B34F8"/>
    <w:pPr>
      <w:spacing w:after="120"/>
      <w:ind w:left="283"/>
    </w:pPr>
  </w:style>
  <w:style w:type="character" w:customStyle="1" w:styleId="RecuodecorpodetextoChar">
    <w:name w:val="Recuo de corpo de texto Char"/>
    <w:basedOn w:val="Fontepargpadro"/>
    <w:link w:val="Recuodecorpodetexto"/>
    <w:uiPriority w:val="99"/>
    <w:semiHidden/>
    <w:rsid w:val="006B34F8"/>
  </w:style>
  <w:style w:type="paragraph" w:customStyle="1" w:styleId="assinatura">
    <w:name w:val="assinatura"/>
    <w:basedOn w:val="Normal"/>
    <w:rsid w:val="008D672F"/>
    <w:pPr>
      <w:spacing w:after="0" w:line="240" w:lineRule="auto"/>
      <w:jc w:val="center"/>
    </w:pPr>
    <w:rPr>
      <w:rFonts w:ascii="Arial" w:eastAsia="Times New Roman" w:hAnsi="Arial" w:cs="Times New Roman"/>
      <w:szCs w:val="24"/>
      <w:lang w:eastAsia="pt-BR"/>
    </w:rPr>
  </w:style>
</w:styles>
</file>

<file path=word/webSettings.xml><?xml version="1.0" encoding="utf-8"?>
<w:webSettings xmlns:r="http://schemas.openxmlformats.org/officeDocument/2006/relationships" xmlns:w="http://schemas.openxmlformats.org/wordprocessingml/2006/main">
  <w:divs>
    <w:div w:id="23058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3176</Words>
  <Characters>17152</Characters>
  <Application>Microsoft Office Word</Application>
  <DocSecurity>0</DocSecurity>
  <Lines>142</Lines>
  <Paragraphs>40</Paragraphs>
  <ScaleCrop>false</ScaleCrop>
  <Company/>
  <LinksUpToDate>false</LinksUpToDate>
  <CharactersWithSpaces>20288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tr98403</dc:creator>
  <cp:lastModifiedBy>tr98403</cp:lastModifiedBy>
  <cp:revision>2</cp:revision>
  <dcterms:created xsi:type="dcterms:W3CDTF">2022-02-16T14:10:00Z</dcterms:created>
  <dcterms:modified xsi:type="dcterms:W3CDTF">2022-04-18T13:35:00Z</dcterms:modified>
</cp:coreProperties>
</file>