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337" w:rsidRDefault="007C5337" w:rsidP="00AB2CC6">
      <w:pPr>
        <w:pStyle w:val="PARGRAFO"/>
        <w:spacing w:after="0"/>
        <w:ind w:firstLine="0"/>
        <w:jc w:val="center"/>
        <w:rPr>
          <w:b/>
          <w:caps/>
        </w:rPr>
      </w:pPr>
    </w:p>
    <w:p w:rsidR="007C5337" w:rsidRPr="00C268D6" w:rsidRDefault="007C5337" w:rsidP="00AB2CC6">
      <w:pPr>
        <w:pStyle w:val="PARGRAFO"/>
        <w:spacing w:after="0"/>
        <w:ind w:firstLine="0"/>
        <w:jc w:val="center"/>
        <w:rPr>
          <w:b/>
          <w:caps/>
        </w:rPr>
      </w:pPr>
      <w:r w:rsidRPr="00C268D6">
        <w:rPr>
          <w:b/>
          <w:caps/>
        </w:rPr>
        <w:t>VOTO-VOGAL</w:t>
      </w:r>
    </w:p>
    <w:p w:rsidR="007C5337" w:rsidRPr="00C268D6" w:rsidRDefault="007C5337" w:rsidP="00AB2CC6">
      <w:pPr>
        <w:pStyle w:val="PARGRAFO"/>
      </w:pPr>
    </w:p>
    <w:p w:rsidR="007C5337" w:rsidRDefault="007C5337" w:rsidP="00AB2CC6">
      <w:pPr>
        <w:pStyle w:val="PARGRAFO"/>
      </w:pPr>
      <w:r w:rsidRPr="00347B0C">
        <w:rPr>
          <w:b/>
        </w:rPr>
        <w:t>O DESEMBARGADOR FEDERAL JOÃO BATISTA MOREIRA:</w:t>
      </w:r>
      <w:r w:rsidRPr="00347B0C">
        <w:t xml:space="preserve"> </w:t>
      </w:r>
      <w:r>
        <w:t xml:space="preserve">Senhor Presidente,  não me lembrava de já ter me manifestado, mesmo em antecipação de tutela, </w:t>
      </w:r>
      <w:r w:rsidR="00137EBE">
        <w:t>e</w:t>
      </w:r>
      <w:r>
        <w:t xml:space="preserve"> fui anotando</w:t>
      </w:r>
      <w:r w:rsidR="00137EBE">
        <w:t>,</w:t>
      </w:r>
      <w:r>
        <w:t xml:space="preserve"> enquanto ouvia o relatório, ouvia a sustentação oral, o voto de Vossa Excelência, e a conclusão a que havia chegado é semelhante à que cheguei, da qual não me lembrava mais, verifico que é semelhante àquela </w:t>
      </w:r>
      <w:r w:rsidR="00137EBE">
        <w:t xml:space="preserve">a </w:t>
      </w:r>
      <w:r>
        <w:t xml:space="preserve">que cheguei </w:t>
      </w:r>
      <w:r w:rsidR="00137EBE">
        <w:t>em</w:t>
      </w:r>
      <w:r>
        <w:t xml:space="preserve"> antecipação de tutela, em decisão monocrática. Fui anotando alguns tópicos e vou tentar, senão agora, no momento da revisão das notas taquigráficas, dar uma ordem lógica</w:t>
      </w:r>
      <w:r w:rsidR="00137EBE">
        <w:t>. C</w:t>
      </w:r>
      <w:r>
        <w:t>omeço examinando o caso que foi reiteradamente mencionado</w:t>
      </w:r>
      <w:r w:rsidR="00137EBE">
        <w:t>,</w:t>
      </w:r>
      <w:r>
        <w:t xml:space="preserve"> no interesse dos candidatos, de que a Súmula 266 do Superior Tribunal de Justiça diz que o diploma deve ser exigido no momento da posse do candidato, não</w:t>
      </w:r>
      <w:r w:rsidR="00137EBE">
        <w:t>,</w:t>
      </w:r>
      <w:r>
        <w:t xml:space="preserve"> no momento da inscrição de candidato a concurso público. A alegação dos interessados é de que há situação</w:t>
      </w:r>
      <w:r w:rsidR="00137EBE">
        <w:t>,</w:t>
      </w:r>
      <w:r>
        <w:t xml:space="preserve"> aqui</w:t>
      </w:r>
      <w:r w:rsidR="00137EBE">
        <w:t>,</w:t>
      </w:r>
      <w:r>
        <w:t xml:space="preserve"> similar. Não haveria necessidade de apresentação de diploma no momento da inscrição, e sim</w:t>
      </w:r>
      <w:r w:rsidR="00137EBE">
        <w:t>,</w:t>
      </w:r>
      <w:r>
        <w:t xml:space="preserve"> no momento em que </w:t>
      </w:r>
      <w:r w:rsidR="00137EBE">
        <w:t>o médico</w:t>
      </w:r>
      <w:r>
        <w:t xml:space="preserve"> vai receber a carteira de habilitação do Conselho Regional de Medicina</w:t>
      </w:r>
      <w:r w:rsidR="00137EBE">
        <w:t>,</w:t>
      </w:r>
      <w:r>
        <w:t xml:space="preserve"> para o exercício da profissão. Seria uma situação similar, portanto</w:t>
      </w:r>
      <w:r w:rsidR="00137EBE">
        <w:t>,</w:t>
      </w:r>
      <w:r>
        <w:t xml:space="preserve"> a orientação sumulada deveria se estender. A Administração tenta dizer o contrário: que não há similaridade entre as duas situações. Penso que há, sim, similaridade entre as duas situações</w:t>
      </w:r>
      <w:r w:rsidRPr="00B56202">
        <w:t>. E</w:t>
      </w:r>
      <w:r>
        <w:t>,</w:t>
      </w:r>
      <w:r w:rsidRPr="00B56202">
        <w:t xml:space="preserve"> num detalhe em que a situação não parece similar,</w:t>
      </w:r>
      <w:r>
        <w:t xml:space="preserve"> qual é a diferenciação que se pode estabelecer entre as duas situações? É que, em um concurso, alguém que está tomando posse </w:t>
      </w:r>
      <w:r w:rsidR="00137EBE">
        <w:t>em razão de</w:t>
      </w:r>
      <w:r>
        <w:t xml:space="preserve"> concurso público</w:t>
      </w:r>
      <w:r w:rsidR="00137EBE">
        <w:t>,</w:t>
      </w:r>
      <w:r>
        <w:t xml:space="preserve"> está ocupando vaga que poderia ser preenchida por alguém que preenche plenamente os requisitos. Estar</w:t>
      </w:r>
      <w:r w:rsidR="00137EBE">
        <w:t>-se-</w:t>
      </w:r>
      <w:r>
        <w:t xml:space="preserve">ia ferindo a </w:t>
      </w:r>
      <w:r w:rsidRPr="008D7D7D">
        <w:t>isonomia. Eu, que tenho meu diploma, que posso apresent</w:t>
      </w:r>
      <w:r w:rsidR="00137EBE">
        <w:t>á-lo</w:t>
      </w:r>
      <w:r w:rsidRPr="008D7D7D">
        <w:t xml:space="preserve"> no momento da inscrição; outro, que ainda não tem o diploma, faz a inscrição em igualdade de condições e consegue, nesse intervalo, obter seu diploma e toma posse, quando eu — se ele já tivesse sido excluído lá atrás,</w:t>
      </w:r>
      <w:r>
        <w:t xml:space="preserve"> foi melhor classificado no concurso e toma posse —, que preenchia o requisito desde o início, sou afastado. Isso</w:t>
      </w:r>
      <w:r w:rsidR="00137EBE">
        <w:t>,</w:t>
      </w:r>
      <w:r>
        <w:t xml:space="preserve"> numa disputa de cargo público. Aqui, penso que esse detalhe favorece a situação do candidato ao Revalida, </w:t>
      </w:r>
      <w:r>
        <w:lastRenderedPageBreak/>
        <w:t>porque não há essa disputa. Não se trata de concurso, de concorrência. Há vagas no mercado de trabalho, e o Brasil é a maior prova disso, importando médicos de Cuba e de outros países, há vagas não preenchidas, de modo que não há essa dificuldade, não há  disputa, classificação dos candidatos no Revalida. Todos os que são aprovados estão, em princípio, habilitados a sua inscrição no Conselho Regional de Medicina e o mercado de trabalho agradece. Então</w:t>
      </w:r>
      <w:r w:rsidRPr="00CE45DD">
        <w:t xml:space="preserve">, a similaridade com a Súmula 266, o fato que motivou a Súmula 266, </w:t>
      </w:r>
      <w:r w:rsidR="00137EBE">
        <w:t>penso</w:t>
      </w:r>
      <w:r w:rsidRPr="00CE45DD">
        <w:t xml:space="preserve"> que a diferença qu</w:t>
      </w:r>
      <w:r>
        <w:t>e poderia existir das duas situações resulta em favor dos candidatos ao Revalida, po</w:t>
      </w:r>
      <w:r w:rsidR="00137EBE">
        <w:t>is</w:t>
      </w:r>
      <w:r>
        <w:t xml:space="preserve"> não há disputa de vagas, há necessidade efetiva de médicos</w:t>
      </w:r>
      <w:r w:rsidR="00137EBE">
        <w:t>,</w:t>
      </w:r>
      <w:r>
        <w:t xml:space="preserve"> em quantidade</w:t>
      </w:r>
      <w:r w:rsidR="00137EBE">
        <w:t>,</w:t>
      </w:r>
      <w:r>
        <w:t xml:space="preserve"> no país. Então, afasto essa questão. Penso que a Súmula 266, essa diferença que existe não é óbice à possibilidade de alguém se candidatar ao Revalida, algué</w:t>
      </w:r>
      <w:r w:rsidR="00137EBE">
        <w:t>m que ainda não tenha o diploma</w:t>
      </w:r>
      <w:r>
        <w:t>. Enquanto eu pensava sobre essa questão, veio</w:t>
      </w:r>
      <w:r w:rsidR="00137EBE">
        <w:t>-me</w:t>
      </w:r>
      <w:r>
        <w:t xml:space="preserve"> à memória um caso que, desde a 1ª instância, estamos acostumados a julgar, que é aquele do candidato que ainda não tem o diploma, o certificado de conclusão do 2º grau para fazer o vestibular. O entendimento que tenho sustentado é o de que o estudante deve já ter concluído o curso ou estar na iminência de concluir o 2º grau. Não aceit</w:t>
      </w:r>
      <w:r w:rsidR="00137EBE">
        <w:t>o, por exemplo, quem ainda falte</w:t>
      </w:r>
      <w:r>
        <w:t xml:space="preserve"> um semestre para concluir o 2º grau, mas se ele está no ultimo mês do 2º grau e o vestibular é daqui a um mês</w:t>
      </w:r>
      <w:r w:rsidR="00137EBE">
        <w:t>,</w:t>
      </w:r>
      <w:r>
        <w:t xml:space="preserve"> ou menos</w:t>
      </w:r>
      <w:r w:rsidR="00137EBE">
        <w:t>,</w:t>
      </w:r>
      <w:r>
        <w:t xml:space="preserve"> pode apresentar certidão de que vai concluir o curso antes da matrícula efetiva, se for aprovado no concurso vestibular, a conclusão, meu entendimento tem sido em afirmar que ele pode, sim, se candidatar ao vestibular, numa situação, diferentemente daquela outra, em que há concorrência. Penso que o que deve valer aí é a essencialidade, menos</w:t>
      </w:r>
      <w:r w:rsidR="00137EBE">
        <w:t xml:space="preserve"> o</w:t>
      </w:r>
      <w:r>
        <w:t xml:space="preserve"> formalismo e</w:t>
      </w:r>
      <w:r w:rsidR="003B5B03">
        <w:t xml:space="preserve"> </w:t>
      </w:r>
      <w:r>
        <w:t xml:space="preserve">mais essencialidade da situação. A questão do custo-benefício, penso que, primeiro, esse custo, o que acarreta para a Administração, pode ser suprido pela taxa. Aliás, cito Sampaio Dória, por todos, um clássico do Direito Tributário, </w:t>
      </w:r>
      <w:r w:rsidR="003B5B03">
        <w:t>em</w:t>
      </w:r>
      <w:r>
        <w:t xml:space="preserve"> seu livro “Direito Tributário e devido processo legal”, em que diz exatamente isso: o limite, o critério, o parâmetro para estabelecer o valor de uma taxa, exatamente o caso, é o custo para a Administração Pública na prestação daquele serviço ou no exercício daquela fiscalização, tratando-se de taxa de polícia. Este caso, penso que está mais para o lado da taxa de polícia, porque é uma atividade de controle, não </w:t>
      </w:r>
      <w:r>
        <w:lastRenderedPageBreak/>
        <w:t xml:space="preserve">é uma atividade de ensino, que acarretaria taxa de serviço; uma atividade de controle, uma prova para saber se a pessoa está em condições de exercer </w:t>
      </w:r>
      <w:r w:rsidR="00810AF7">
        <w:t>a</w:t>
      </w:r>
      <w:r>
        <w:t xml:space="preserve"> profissão, mas, em qualquer dos dois casos, o critério do Direito Tributário para o estabelecimento do valor da taxa é o custo do serviço, então que se cobre. Ah, mas só </w:t>
      </w:r>
      <w:r w:rsidR="00810AF7">
        <w:t xml:space="preserve">se </w:t>
      </w:r>
      <w:r>
        <w:t>cobra</w:t>
      </w:r>
      <w:r w:rsidR="00097067">
        <w:t>m</w:t>
      </w:r>
      <w:r>
        <w:t xml:space="preserve"> 10%</w:t>
      </w:r>
      <w:r w:rsidR="00810AF7">
        <w:t>!</w:t>
      </w:r>
      <w:r>
        <w:t xml:space="preserve"> Cobra porque quer, porque, pelo critério constitucional, é possível, sim, cobrar o valor efetivo do custo do serviço. </w:t>
      </w:r>
      <w:r w:rsidR="00097067">
        <w:t>C</w:t>
      </w:r>
      <w:r>
        <w:t>usto-benefício</w:t>
      </w:r>
      <w:r w:rsidR="00810AF7">
        <w:t>, have</w:t>
      </w:r>
      <w:r w:rsidR="003B5B03">
        <w:t>r</w:t>
      </w:r>
      <w:r w:rsidR="00810AF7">
        <w:t>ia tumulto para o</w:t>
      </w:r>
      <w:r>
        <w:t xml:space="preserve"> processo, vêm milhares de candidatos, depois a metade, ou menos, ou mais, não têm con</w:t>
      </w:r>
      <w:r w:rsidR="00810AF7">
        <w:t>dições de demonstrar que concluiu</w:t>
      </w:r>
      <w:r>
        <w:t xml:space="preserve"> o curso e ter</w:t>
      </w:r>
      <w:r w:rsidR="00810AF7">
        <w:t>á</w:t>
      </w:r>
      <w:r>
        <w:t xml:space="preserve"> dado trabalho difícil, trabalho oneroso para a Administração, sem resultado prático? Penso que não. Considerando a necessidade que o Brasil tem de médicos, considerando a situação individual de candidato que, se não passa naquele exame, vamos supor que conclua o curso no mês seguinte ou já tenha concluído o curso e não tenha o diploma, vai ter que aguardar mais </w:t>
      </w:r>
      <w:r w:rsidR="00810AF7">
        <w:t>tempo</w:t>
      </w:r>
      <w:r>
        <w:t>, vai perder um ano</w:t>
      </w:r>
      <w:r w:rsidR="00810AF7">
        <w:t>, talvez</w:t>
      </w:r>
      <w:r w:rsidR="00097067">
        <w:t>,</w:t>
      </w:r>
      <w:r>
        <w:t xml:space="preserve"> de trabalho e a sociedade vai ficar carente. Um ano na vida de uma pessoa é tempo muito </w:t>
      </w:r>
      <w:r w:rsidR="00810AF7">
        <w:t>precioso</w:t>
      </w:r>
      <w:r>
        <w:t xml:space="preserve"> que pode acarretar muitas consequência</w:t>
      </w:r>
      <w:r w:rsidR="00810AF7">
        <w:t>s. É bom lembrar aquele livro de</w:t>
      </w:r>
      <w:r>
        <w:t xml:space="preserve"> José de Alencar, “Cinco minutos”, que devemos ter lido quando estávamos nos preparando para o vestibular, ou não, porque é um dos menores livros do José de Alencar. </w:t>
      </w:r>
      <w:r w:rsidR="00810AF7">
        <w:t>M</w:t>
      </w:r>
      <w:r>
        <w:t>ostra, nesse romance, o que são cinco minutos na vida de uma pessoa. A vida toma</w:t>
      </w:r>
      <w:r w:rsidR="00810AF7">
        <w:t>,</w:t>
      </w:r>
      <w:r>
        <w:t xml:space="preserve"> totalmente</w:t>
      </w:r>
      <w:r w:rsidR="00810AF7">
        <w:t>,</w:t>
      </w:r>
      <w:r>
        <w:t xml:space="preserve"> outro rumo</w:t>
      </w:r>
      <w:r w:rsidR="00810AF7">
        <w:t>,</w:t>
      </w:r>
      <w:r>
        <w:t xml:space="preserve"> em função de um fato que pode acontecer em cinco minutos. Alguém que, por um dia, por um mês, por dois meses não consegue fazer seu Revalida e só vai fazer no ano seguinte, imagine o rumo diferente que pode tomar a vida dess</w:t>
      </w:r>
      <w:r w:rsidR="00810AF7">
        <w:t>a pessoa em função desse atraso</w:t>
      </w:r>
      <w:r w:rsidR="006C56D1">
        <w:t>!</w:t>
      </w:r>
      <w:r>
        <w:t xml:space="preserve"> Penso que, </w:t>
      </w:r>
      <w:r w:rsidR="00810AF7">
        <w:t>calculando</w:t>
      </w:r>
      <w:r>
        <w:t xml:space="preserve"> o custo-benefício — em outros termos, levando em conta a proporcionalidade —, há mais benefícios no sentido da permissão da inscrição do que nessa sistemática formal, incisiva: vedação da inscrição. Já falei da questão da carência de médicos no país</w:t>
      </w:r>
      <w:r w:rsidR="00810AF7">
        <w:t>,</w:t>
      </w:r>
      <w:r>
        <w:t xml:space="preserve"> que levou até a aceitar médicos sem o Revalida — parece-me, aqueles que vieram de Cuba não tinham essa exigência — e sua saída do país levou a lamentação geral, pelo que vimos pela imprensa, das pessoas que ficaram privadas da assistência daqueles médicos que não tinham tanta certificação quanto a sua qualificação, mas que, de um modo ou de outro, atendiam a nossa sofrida população, principalmente do interior do país. Outro aspecto que deve ser ressaltado — não posso afirmar com todas as letras, mas sabemos que, na prática, acontece — é o corporativismo da classe médica. Não é surpresa, não estou trazendo aqui uma coisa rara ou que não possa ser afirmada, uma simples cogitação </w:t>
      </w:r>
      <w:r w:rsidR="00810AF7">
        <w:t>o</w:t>
      </w:r>
      <w:r>
        <w:t xml:space="preserve">u elucubração, não é nada disso; sabemos que, em qualquer profissão, é natural que isso aconteça, há o corporativismo. Até os próprios conselhos profissionais, que são órgãos de fiscalização, acabam, no final, transformando-se em verdadeiros sindicatos, entidades de classe no interesse da proteção do mercado de trabalho, e isso, com certeza, contamina as entidades, as faculdades de Medicina, seus professores, que também são médicos, no momento em que vão admitir, aplicar esses exames para poder permitir que ingressem no país médicos formados no exterior, que vêm ocupar espaço no mercado de trabalho. Outra coisa que anotei aqui é a questão do interesse da saúde, já falei. O efetivo recebimento do diploma é um indício, mas não podemos tomar isso como sendo um elemento decisivo que prova a capacidade profissional do médico. O que prova a capacidade é a efetiva participação no curso e a efetiva conclusão do curso, mas não é a burocracia do diploma que vai selar ou vai ser decisiva para demonstrar a capacidade profissional do médico. O diploma é um simples ato, a apresentação do diploma é simples ato, </w:t>
      </w:r>
      <w:r w:rsidR="00810AF7">
        <w:t>e</w:t>
      </w:r>
      <w:r>
        <w:t xml:space="preserve"> estamos tratando de um processo</w:t>
      </w:r>
      <w:r w:rsidR="00810AF7">
        <w:t xml:space="preserve">, </w:t>
      </w:r>
      <w:r>
        <w:t>uma série de atos. A inscrição é o</w:t>
      </w:r>
      <w:r w:rsidR="00810AF7">
        <w:t xml:space="preserve"> primeiro</w:t>
      </w:r>
      <w:r>
        <w:t xml:space="preserve"> ato de um processo inteiro. Esse processo só vai terminar no momento em que </w:t>
      </w:r>
      <w:r w:rsidR="00810AF7">
        <w:t>o médico</w:t>
      </w:r>
      <w:r>
        <w:t xml:space="preserve"> receber a carteira do Conselho Regional de Medicina para poder exercer a profissão. Enquanto isso não acontece, não pode ser médico no país. Não vejo dificuldade, não vejo razão para obstar o início desse processo antes da efetiva apresentação do diploma, uma vez que a conclusão desse processo, que é o elemento decisivo, vai acontecer depois, no momento em que vai receber a carteira profissional. A questão da discricionariedade, a Administração pode fazer isso, porque está dentro do seu poder discricionário, não há possibilidade de controle judicial.</w:t>
      </w:r>
      <w:r w:rsidR="00810AF7">
        <w:t>..</w:t>
      </w:r>
      <w:r>
        <w:t xml:space="preserve"> Até pouco tempo, isso poderia ser dito</w:t>
      </w:r>
      <w:r w:rsidR="00810AF7">
        <w:t>,</w:t>
      </w:r>
      <w:r>
        <w:t xml:space="preserve"> no período, na fase em que a discricionariedade era entendida como simples vontade do administrador. O ato discricionário não precisava ser motivado. Hoje, sabe-se que o ato discricionário é justamente o que deve ser motivado. O ato vinculado, a motivação dele é a lei, então não precisa </w:t>
      </w:r>
      <w:r w:rsidR="00847081">
        <w:t xml:space="preserve">tanta </w:t>
      </w:r>
      <w:r>
        <w:t>motiva</w:t>
      </w:r>
      <w:r w:rsidR="00810AF7">
        <w:t>ção</w:t>
      </w:r>
      <w:r>
        <w:t xml:space="preserve">, porque a lei determina daquela forma, não precisa o administrador repetir a lei como fundamento do ato. Agora, o ato discricionário, em que há certa liberdade, certa margem, faixa de ação para a Administração, é que </w:t>
      </w:r>
      <w:r w:rsidR="00847081">
        <w:t>necessita</w:t>
      </w:r>
      <w:r>
        <w:t xml:space="preserve"> ser motivado. O administrador está obrigado, no ato discricionário, sob pena de nulidade, de invalidade desse ato, a dizer por que está tomando essa e não aquela opção. No caso, para estabelecer essa exigência, é preciso que haja motivos suficientes e, pelo que acabo de falar, na minha concepção, </w:t>
      </w:r>
      <w:r>
        <w:rPr>
          <w:i/>
        </w:rPr>
        <w:t>data</w:t>
      </w:r>
      <w:r>
        <w:t xml:space="preserve"> </w:t>
      </w:r>
      <w:proofErr w:type="spellStart"/>
      <w:r>
        <w:rPr>
          <w:i/>
        </w:rPr>
        <w:t>venia</w:t>
      </w:r>
      <w:proofErr w:type="spellEnd"/>
      <w:r>
        <w:rPr>
          <w:i/>
        </w:rPr>
        <w:t xml:space="preserve">, </w:t>
      </w:r>
      <w:r>
        <w:t>com esses argumentos que trago aqui, não há motivo sério, proporcional, que possa determinar a exigência, de forma irredutível, do diploma</w:t>
      </w:r>
      <w:r w:rsidR="00810AF7">
        <w:t>,</w:t>
      </w:r>
      <w:r>
        <w:t xml:space="preserve"> no momento da inscrição, de modo que, Senhor Presidente, examinando os aspectos de um lado e outro, função que me cabe até pela posição</w:t>
      </w:r>
      <w:r w:rsidR="00810AF7">
        <w:t xml:space="preserve"> em</w:t>
      </w:r>
      <w:r>
        <w:t xml:space="preserve"> que estou aqui — nunca me orgulho de ser o mais velho, gostaria de ser o mais novo do Tribunal</w:t>
      </w:r>
      <w:r w:rsidR="00810AF7">
        <w:t>,</w:t>
      </w:r>
      <w:r>
        <w:t xml:space="preserve"> mas até por essa posição de revisor, </w:t>
      </w:r>
      <w:r w:rsidR="00810AF7">
        <w:t>levanto</w:t>
      </w:r>
      <w:r>
        <w:t xml:space="preserve"> esses elementos como forma de alimentar o debate</w:t>
      </w:r>
      <w:r w:rsidR="00810AF7">
        <w:t>. O</w:t>
      </w:r>
      <w:r>
        <w:t>uso divergir do voto de Vossa Excelência</w:t>
      </w:r>
      <w:r>
        <w:rPr>
          <w:i/>
        </w:rPr>
        <w:t>.</w:t>
      </w:r>
    </w:p>
    <w:sectPr w:rsidR="007C5337" w:rsidSect="001D2F3E">
      <w:headerReference w:type="default" r:id="rId7"/>
      <w:footerReference w:type="even" r:id="rId8"/>
      <w:footerReference w:type="default" r:id="rId9"/>
      <w:pgSz w:w="11907" w:h="16840" w:code="9"/>
      <w:pgMar w:top="567" w:right="567" w:bottom="425" w:left="1418" w:header="567" w:footer="42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857" w:rsidRDefault="00897857">
      <w:r>
        <w:separator/>
      </w:r>
    </w:p>
  </w:endnote>
  <w:endnote w:type="continuationSeparator" w:id="0">
    <w:p w:rsidR="00897857" w:rsidRDefault="008978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2C4" w:rsidRDefault="00F352D2">
    <w:pPr>
      <w:pStyle w:val="Rodap"/>
      <w:framePr w:wrap="around" w:vAnchor="text" w:hAnchor="margin" w:xAlign="right" w:y="1"/>
      <w:rPr>
        <w:rStyle w:val="Nmerodepgina"/>
      </w:rPr>
    </w:pPr>
    <w:r>
      <w:rPr>
        <w:rStyle w:val="Nmerodepgina"/>
      </w:rPr>
      <w:fldChar w:fldCharType="begin"/>
    </w:r>
    <w:r w:rsidR="004072C4">
      <w:rPr>
        <w:rStyle w:val="Nmerodepgina"/>
      </w:rPr>
      <w:instrText xml:space="preserve">PAGE  </w:instrText>
    </w:r>
    <w:r>
      <w:rPr>
        <w:rStyle w:val="Nmerodepgina"/>
      </w:rPr>
      <w:fldChar w:fldCharType="end"/>
    </w:r>
  </w:p>
  <w:p w:rsidR="004072C4" w:rsidRDefault="004072C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2C4" w:rsidRDefault="00F352D2">
    <w:pPr>
      <w:pStyle w:val="Rodap"/>
      <w:framePr w:wrap="around" w:vAnchor="text" w:hAnchor="margin" w:xAlign="right" w:y="1"/>
      <w:rPr>
        <w:rStyle w:val="Nmerodepgina"/>
      </w:rPr>
    </w:pPr>
    <w:r>
      <w:rPr>
        <w:rStyle w:val="Nmerodepgina"/>
      </w:rPr>
      <w:fldChar w:fldCharType="begin"/>
    </w:r>
    <w:r w:rsidR="004072C4">
      <w:rPr>
        <w:rStyle w:val="Nmerodepgina"/>
      </w:rPr>
      <w:instrText xml:space="preserve">PAGE  </w:instrText>
    </w:r>
    <w:r>
      <w:rPr>
        <w:rStyle w:val="Nmerodepgina"/>
      </w:rPr>
      <w:fldChar w:fldCharType="separate"/>
    </w:r>
    <w:r w:rsidR="00843D2C">
      <w:rPr>
        <w:rStyle w:val="Nmerodepgina"/>
        <w:noProof/>
      </w:rPr>
      <w:t>4</w:t>
    </w:r>
    <w:r>
      <w:rPr>
        <w:rStyle w:val="Nmerodepgina"/>
      </w:rPr>
      <w:fldChar w:fldCharType="end"/>
    </w:r>
  </w:p>
  <w:p w:rsidR="004072C4" w:rsidRDefault="004072C4">
    <w:pPr>
      <w:pStyle w:val="Rodap"/>
      <w:ind w:right="360"/>
    </w:pPr>
    <w:r>
      <w:rPr>
        <w:sz w:val="16"/>
      </w:rPr>
      <w:t>TRF-1ª REGIÃO / MOD. 11-01-02</w:t>
    </w:r>
    <w:r w:rsidR="00E50A2F">
      <w:t xml:space="preserve"> - </w:t>
    </w:r>
    <w:fldSimple w:instr=" FILENAME  \p  \* MERGEFORMAT ">
      <w:r w:rsidR="00843D2C" w:rsidRPr="00843D2C">
        <w:rPr>
          <w:noProof/>
          <w:sz w:val="14"/>
        </w:rPr>
        <w:t>W:\09 NOTA TAQUIGRÁFICA\2019\3S\0045947-19.2017.4.01.0000.docx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857" w:rsidRDefault="00897857">
      <w:r>
        <w:separator/>
      </w:r>
    </w:p>
  </w:footnote>
  <w:footnote w:type="continuationSeparator" w:id="0">
    <w:p w:rsidR="00897857" w:rsidRDefault="008978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63"/>
      <w:gridCol w:w="2948"/>
      <w:gridCol w:w="2420"/>
      <w:gridCol w:w="160"/>
      <w:gridCol w:w="1431"/>
      <w:gridCol w:w="160"/>
      <w:gridCol w:w="1880"/>
    </w:tblGrid>
    <w:tr w:rsidR="007C5337" w:rsidTr="00C523D3">
      <w:trPr>
        <w:cantSplit/>
        <w:trHeight w:hRule="exact" w:val="170"/>
      </w:trPr>
      <w:tc>
        <w:tcPr>
          <w:tcW w:w="4011" w:type="dxa"/>
          <w:gridSpan w:val="2"/>
          <w:tcBorders>
            <w:top w:val="nil"/>
            <w:left w:val="nil"/>
            <w:bottom w:val="nil"/>
            <w:right w:val="nil"/>
          </w:tcBorders>
        </w:tcPr>
        <w:p w:rsidR="007C5337" w:rsidRDefault="007C5337" w:rsidP="00C523D3">
          <w:pPr>
            <w:pStyle w:val="Cabealho"/>
          </w:pPr>
        </w:p>
      </w:tc>
      <w:tc>
        <w:tcPr>
          <w:tcW w:w="4011" w:type="dxa"/>
          <w:gridSpan w:val="3"/>
          <w:tcBorders>
            <w:top w:val="nil"/>
            <w:left w:val="nil"/>
            <w:right w:val="nil"/>
          </w:tcBorders>
        </w:tcPr>
        <w:p w:rsidR="007C5337" w:rsidRDefault="007C5337" w:rsidP="00C523D3">
          <w:pPr>
            <w:pStyle w:val="Cabealho"/>
          </w:pPr>
        </w:p>
      </w:tc>
      <w:tc>
        <w:tcPr>
          <w:tcW w:w="160" w:type="dxa"/>
          <w:vMerge w:val="restart"/>
          <w:tcBorders>
            <w:top w:val="nil"/>
            <w:left w:val="nil"/>
            <w:bottom w:val="nil"/>
            <w:right w:val="nil"/>
          </w:tcBorders>
        </w:tcPr>
        <w:p w:rsidR="007C5337" w:rsidRDefault="007C5337" w:rsidP="00C523D3">
          <w:pPr>
            <w:pStyle w:val="Cabealho"/>
          </w:pPr>
        </w:p>
      </w:tc>
      <w:tc>
        <w:tcPr>
          <w:tcW w:w="1880" w:type="dxa"/>
          <w:tcBorders>
            <w:top w:val="nil"/>
            <w:left w:val="nil"/>
            <w:bottom w:val="single" w:sz="4" w:space="0" w:color="auto"/>
            <w:right w:val="nil"/>
          </w:tcBorders>
          <w:vAlign w:val="center"/>
        </w:tcPr>
        <w:p w:rsidR="007C5337" w:rsidRDefault="007C5337" w:rsidP="00C523D3">
          <w:pPr>
            <w:pStyle w:val="Cabealho"/>
            <w:rPr>
              <w:rFonts w:ascii="Arial" w:hAnsi="Arial"/>
              <w:sz w:val="12"/>
            </w:rPr>
          </w:pPr>
          <w:r>
            <w:rPr>
              <w:rFonts w:ascii="Arial" w:hAnsi="Arial"/>
              <w:sz w:val="12"/>
            </w:rPr>
            <w:t>1. CONTROLE</w:t>
          </w:r>
        </w:p>
      </w:tc>
    </w:tr>
    <w:tr w:rsidR="007C5337" w:rsidTr="00C523D3">
      <w:trPr>
        <w:cantSplit/>
        <w:trHeight w:hRule="exact" w:val="1134"/>
      </w:trPr>
      <w:tc>
        <w:tcPr>
          <w:tcW w:w="1063" w:type="dxa"/>
          <w:tcBorders>
            <w:left w:val="single" w:sz="4" w:space="0" w:color="auto"/>
            <w:bottom w:val="single" w:sz="4" w:space="0" w:color="auto"/>
            <w:right w:val="nil"/>
          </w:tcBorders>
        </w:tcPr>
        <w:p w:rsidR="007C5337" w:rsidRDefault="007C5337" w:rsidP="00C523D3">
          <w:pPr>
            <w:pStyle w:val="Cabealho"/>
            <w:rPr>
              <w:sz w:val="24"/>
            </w:rPr>
          </w:pPr>
          <w:r w:rsidRPr="001D2F3E">
            <w:rPr>
              <w:sz w:val="24"/>
            </w:rPr>
            <w:object w:dxaOrig="1300" w:dyaOrig="14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53.2pt" o:ole="">
                <v:imagedata r:id="rId1" o:title="" croptop="-416f" cropbottom="-416f" cropleft="-151f" cropright="-151f"/>
              </v:shape>
              <o:OLEObject Type="Embed" ProgID="WPDraw30.Drawing" ShapeID="_x0000_i1025" DrawAspect="Content" ObjectID="_1612272396" r:id="rId2">
                <o:FieldCodes>\* MERGEFORMAT</o:FieldCodes>
              </o:OLEObject>
            </w:object>
          </w:r>
        </w:p>
      </w:tc>
      <w:tc>
        <w:tcPr>
          <w:tcW w:w="6959" w:type="dxa"/>
          <w:gridSpan w:val="4"/>
          <w:tcBorders>
            <w:left w:val="nil"/>
            <w:bottom w:val="single" w:sz="4" w:space="0" w:color="auto"/>
            <w:right w:val="single" w:sz="4" w:space="0" w:color="auto"/>
          </w:tcBorders>
        </w:tcPr>
        <w:p w:rsidR="007C5337" w:rsidRDefault="007C5337" w:rsidP="00C523D3">
          <w:pPr>
            <w:pStyle w:val="Cabealho"/>
            <w:spacing w:before="120"/>
            <w:rPr>
              <w:rFonts w:ascii="Arial" w:hAnsi="Arial"/>
              <w:sz w:val="16"/>
            </w:rPr>
          </w:pPr>
          <w:r>
            <w:rPr>
              <w:rFonts w:ascii="Arial" w:hAnsi="Arial"/>
              <w:sz w:val="16"/>
            </w:rPr>
            <w:t>PODER JUDICIÁRIO</w:t>
          </w:r>
        </w:p>
        <w:p w:rsidR="007C5337" w:rsidRDefault="007C5337" w:rsidP="00C523D3">
          <w:pPr>
            <w:pStyle w:val="Cabealho"/>
            <w:rPr>
              <w:rFonts w:ascii="Arial" w:hAnsi="Arial"/>
              <w:b/>
              <w:bCs/>
            </w:rPr>
          </w:pPr>
          <w:r>
            <w:rPr>
              <w:rFonts w:ascii="Arial" w:hAnsi="Arial"/>
              <w:b/>
              <w:bCs/>
            </w:rPr>
            <w:t>TRIBUNAL REGIONAL FEDERAL DA 1ª REGIÃO</w:t>
          </w:r>
        </w:p>
        <w:p w:rsidR="007C5337" w:rsidRDefault="007C5337" w:rsidP="00C523D3">
          <w:pPr>
            <w:pStyle w:val="Cabealho"/>
            <w:spacing w:before="120"/>
            <w:jc w:val="center"/>
            <w:rPr>
              <w:rFonts w:ascii="Arial" w:hAnsi="Arial"/>
              <w:b/>
              <w:bCs/>
              <w:sz w:val="28"/>
            </w:rPr>
          </w:pPr>
          <w:r>
            <w:rPr>
              <w:rFonts w:ascii="Arial" w:hAnsi="Arial"/>
              <w:b/>
              <w:bCs/>
              <w:sz w:val="28"/>
            </w:rPr>
            <w:t>NOTA TAQUIGRÁFICA</w:t>
          </w:r>
        </w:p>
        <w:p w:rsidR="007C5337" w:rsidRDefault="007C5337" w:rsidP="00C523D3">
          <w:pPr>
            <w:pStyle w:val="Cabealho"/>
          </w:pPr>
        </w:p>
      </w:tc>
      <w:tc>
        <w:tcPr>
          <w:tcW w:w="160" w:type="dxa"/>
          <w:vMerge/>
          <w:tcBorders>
            <w:top w:val="nil"/>
            <w:left w:val="single" w:sz="4" w:space="0" w:color="auto"/>
            <w:bottom w:val="nil"/>
            <w:right w:val="single" w:sz="4" w:space="0" w:color="auto"/>
          </w:tcBorders>
        </w:tcPr>
        <w:p w:rsidR="007C5337" w:rsidRDefault="007C5337" w:rsidP="00C523D3">
          <w:pPr>
            <w:pStyle w:val="Cabealho"/>
          </w:pPr>
        </w:p>
      </w:tc>
      <w:tc>
        <w:tcPr>
          <w:tcW w:w="1880" w:type="dxa"/>
          <w:tcBorders>
            <w:top w:val="single" w:sz="4" w:space="0" w:color="auto"/>
            <w:left w:val="single" w:sz="4" w:space="0" w:color="auto"/>
            <w:bottom w:val="single" w:sz="4" w:space="0" w:color="auto"/>
          </w:tcBorders>
          <w:vAlign w:val="center"/>
        </w:tcPr>
        <w:p w:rsidR="007C5337" w:rsidRDefault="007C5337" w:rsidP="00C523D3">
          <w:pPr>
            <w:pStyle w:val="Cabealho"/>
            <w:jc w:val="center"/>
          </w:pPr>
        </w:p>
      </w:tc>
    </w:tr>
    <w:tr w:rsidR="007C5337" w:rsidTr="00C523D3">
      <w:trPr>
        <w:cantSplit/>
        <w:trHeight w:hRule="exact" w:val="170"/>
      </w:trPr>
      <w:tc>
        <w:tcPr>
          <w:tcW w:w="6431" w:type="dxa"/>
          <w:gridSpan w:val="3"/>
          <w:tcBorders>
            <w:top w:val="nil"/>
            <w:left w:val="nil"/>
            <w:bottom w:val="single" w:sz="4" w:space="0" w:color="auto"/>
            <w:right w:val="nil"/>
          </w:tcBorders>
          <w:vAlign w:val="center"/>
        </w:tcPr>
        <w:p w:rsidR="007C5337" w:rsidRDefault="007C5337" w:rsidP="00C523D3">
          <w:pPr>
            <w:pStyle w:val="Cabealho"/>
          </w:pPr>
          <w:r>
            <w:rPr>
              <w:rFonts w:ascii="Arial" w:hAnsi="Arial"/>
              <w:sz w:val="12"/>
            </w:rPr>
            <w:t>2. ÓRGÃO JULGADOR</w:t>
          </w:r>
        </w:p>
      </w:tc>
      <w:tc>
        <w:tcPr>
          <w:tcW w:w="160" w:type="dxa"/>
          <w:tcBorders>
            <w:top w:val="nil"/>
            <w:left w:val="nil"/>
            <w:bottom w:val="nil"/>
            <w:right w:val="nil"/>
          </w:tcBorders>
          <w:vAlign w:val="center"/>
        </w:tcPr>
        <w:p w:rsidR="007C5337" w:rsidRDefault="007C5337" w:rsidP="00C523D3">
          <w:pPr>
            <w:pStyle w:val="Cabealho"/>
          </w:pPr>
        </w:p>
      </w:tc>
      <w:tc>
        <w:tcPr>
          <w:tcW w:w="1431" w:type="dxa"/>
          <w:tcBorders>
            <w:top w:val="nil"/>
            <w:left w:val="nil"/>
            <w:bottom w:val="single" w:sz="4" w:space="0" w:color="auto"/>
            <w:right w:val="nil"/>
          </w:tcBorders>
          <w:vAlign w:val="center"/>
        </w:tcPr>
        <w:p w:rsidR="007C5337" w:rsidRDefault="007C5337" w:rsidP="00C523D3">
          <w:pPr>
            <w:pStyle w:val="Cabealho"/>
          </w:pPr>
          <w:r>
            <w:rPr>
              <w:rFonts w:ascii="Arial" w:hAnsi="Arial"/>
              <w:sz w:val="12"/>
            </w:rPr>
            <w:t>3. HORÁRIO</w:t>
          </w:r>
        </w:p>
      </w:tc>
      <w:tc>
        <w:tcPr>
          <w:tcW w:w="160" w:type="dxa"/>
          <w:tcBorders>
            <w:top w:val="nil"/>
            <w:left w:val="nil"/>
            <w:bottom w:val="nil"/>
            <w:right w:val="nil"/>
          </w:tcBorders>
          <w:vAlign w:val="center"/>
        </w:tcPr>
        <w:p w:rsidR="007C5337" w:rsidRDefault="007C5337" w:rsidP="00C523D3">
          <w:pPr>
            <w:pStyle w:val="Cabealho"/>
          </w:pPr>
        </w:p>
      </w:tc>
      <w:tc>
        <w:tcPr>
          <w:tcW w:w="1880" w:type="dxa"/>
          <w:tcBorders>
            <w:top w:val="single" w:sz="4" w:space="0" w:color="auto"/>
            <w:left w:val="nil"/>
            <w:bottom w:val="single" w:sz="4" w:space="0" w:color="auto"/>
            <w:right w:val="nil"/>
          </w:tcBorders>
          <w:vAlign w:val="center"/>
        </w:tcPr>
        <w:p w:rsidR="007C5337" w:rsidRDefault="007C5337" w:rsidP="00C523D3">
          <w:pPr>
            <w:pStyle w:val="Cabealho"/>
          </w:pPr>
          <w:r>
            <w:rPr>
              <w:rFonts w:ascii="Arial" w:hAnsi="Arial"/>
              <w:sz w:val="12"/>
            </w:rPr>
            <w:t>4. DATA</w:t>
          </w:r>
        </w:p>
      </w:tc>
    </w:tr>
    <w:tr w:rsidR="007C5337" w:rsidTr="00C523D3">
      <w:trPr>
        <w:cantSplit/>
        <w:trHeight w:hRule="exact" w:val="340"/>
      </w:trPr>
      <w:tc>
        <w:tcPr>
          <w:tcW w:w="6431" w:type="dxa"/>
          <w:gridSpan w:val="3"/>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3ª SEÇÃO</w:t>
          </w:r>
        </w:p>
      </w:tc>
      <w:tc>
        <w:tcPr>
          <w:tcW w:w="160" w:type="dxa"/>
          <w:tcBorders>
            <w:top w:val="nil"/>
            <w:left w:val="single" w:sz="4" w:space="0" w:color="auto"/>
            <w:bottom w:val="nil"/>
            <w:right w:val="single" w:sz="4" w:space="0" w:color="auto"/>
          </w:tcBorders>
          <w:vAlign w:val="center"/>
        </w:tcPr>
        <w:p w:rsidR="007C5337" w:rsidRDefault="007C5337" w:rsidP="00C523D3">
          <w:pPr>
            <w:pStyle w:val="Cabealho"/>
            <w:rPr>
              <w:rFonts w:ascii="Arial" w:hAnsi="Arial"/>
            </w:rPr>
          </w:pPr>
        </w:p>
      </w:tc>
      <w:tc>
        <w:tcPr>
          <w:tcW w:w="1431" w:type="dxa"/>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15:30</w:t>
          </w:r>
        </w:p>
      </w:tc>
      <w:tc>
        <w:tcPr>
          <w:tcW w:w="160" w:type="dxa"/>
          <w:tcBorders>
            <w:top w:val="nil"/>
            <w:left w:val="single" w:sz="4" w:space="0" w:color="auto"/>
            <w:bottom w:val="nil"/>
            <w:right w:val="single" w:sz="4" w:space="0" w:color="auto"/>
          </w:tcBorders>
          <w:vAlign w:val="center"/>
        </w:tcPr>
        <w:p w:rsidR="007C5337" w:rsidRDefault="007C5337" w:rsidP="00C523D3">
          <w:pPr>
            <w:pStyle w:val="Cabealho"/>
            <w:rPr>
              <w:rFonts w:ascii="Arial" w:hAnsi="Arial"/>
            </w:rPr>
          </w:pPr>
        </w:p>
      </w:tc>
      <w:tc>
        <w:tcPr>
          <w:tcW w:w="1880" w:type="dxa"/>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19/2/2019</w:t>
          </w:r>
        </w:p>
      </w:tc>
    </w:tr>
    <w:tr w:rsidR="007C5337" w:rsidTr="00C523D3">
      <w:trPr>
        <w:cantSplit/>
        <w:trHeight w:hRule="exact" w:val="170"/>
      </w:trPr>
      <w:tc>
        <w:tcPr>
          <w:tcW w:w="6431" w:type="dxa"/>
          <w:gridSpan w:val="3"/>
          <w:tcBorders>
            <w:top w:val="single" w:sz="4" w:space="0" w:color="auto"/>
            <w:left w:val="nil"/>
            <w:bottom w:val="single" w:sz="4" w:space="0" w:color="auto"/>
            <w:right w:val="nil"/>
          </w:tcBorders>
          <w:vAlign w:val="center"/>
        </w:tcPr>
        <w:p w:rsidR="007C5337" w:rsidRDefault="007C5337" w:rsidP="00C523D3">
          <w:pPr>
            <w:pStyle w:val="Cabealho"/>
          </w:pPr>
          <w:r>
            <w:rPr>
              <w:rFonts w:ascii="Arial" w:hAnsi="Arial"/>
              <w:sz w:val="12"/>
            </w:rPr>
            <w:t>5. PRESIDENTE</w:t>
          </w:r>
        </w:p>
      </w:tc>
      <w:tc>
        <w:tcPr>
          <w:tcW w:w="160" w:type="dxa"/>
          <w:tcBorders>
            <w:top w:val="nil"/>
            <w:left w:val="nil"/>
            <w:bottom w:val="nil"/>
            <w:right w:val="nil"/>
          </w:tcBorders>
          <w:vAlign w:val="center"/>
        </w:tcPr>
        <w:p w:rsidR="007C5337" w:rsidRDefault="007C5337" w:rsidP="00C523D3">
          <w:pPr>
            <w:pStyle w:val="Cabealho"/>
          </w:pPr>
        </w:p>
      </w:tc>
      <w:tc>
        <w:tcPr>
          <w:tcW w:w="3471" w:type="dxa"/>
          <w:gridSpan w:val="3"/>
          <w:tcBorders>
            <w:top w:val="nil"/>
            <w:left w:val="nil"/>
            <w:bottom w:val="single" w:sz="4" w:space="0" w:color="auto"/>
            <w:right w:val="nil"/>
          </w:tcBorders>
          <w:vAlign w:val="center"/>
        </w:tcPr>
        <w:p w:rsidR="007C5337" w:rsidRDefault="007C5337" w:rsidP="00C523D3">
          <w:pPr>
            <w:pStyle w:val="Cabealho"/>
          </w:pPr>
          <w:r>
            <w:rPr>
              <w:rFonts w:ascii="Arial" w:hAnsi="Arial"/>
              <w:sz w:val="12"/>
            </w:rPr>
            <w:t>6. TAQUÍGRAFOS</w:t>
          </w:r>
        </w:p>
      </w:tc>
    </w:tr>
    <w:tr w:rsidR="007C5337" w:rsidTr="00C523D3">
      <w:trPr>
        <w:cantSplit/>
        <w:trHeight w:hRule="exact" w:val="340"/>
      </w:trPr>
      <w:tc>
        <w:tcPr>
          <w:tcW w:w="6431" w:type="dxa"/>
          <w:gridSpan w:val="3"/>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 xml:space="preserve">Desembargador Federal Daniel Paes Ribeiro </w:t>
          </w:r>
        </w:p>
      </w:tc>
      <w:tc>
        <w:tcPr>
          <w:tcW w:w="160" w:type="dxa"/>
          <w:tcBorders>
            <w:top w:val="nil"/>
            <w:left w:val="single" w:sz="4" w:space="0" w:color="auto"/>
            <w:bottom w:val="nil"/>
            <w:right w:val="single" w:sz="4" w:space="0" w:color="auto"/>
          </w:tcBorders>
          <w:vAlign w:val="center"/>
        </w:tcPr>
        <w:p w:rsidR="007C5337" w:rsidRDefault="007C5337" w:rsidP="00C523D3">
          <w:pPr>
            <w:pStyle w:val="Cabealho"/>
            <w:rPr>
              <w:rFonts w:ascii="Arial" w:hAnsi="Arial"/>
            </w:rPr>
          </w:pPr>
        </w:p>
      </w:tc>
      <w:tc>
        <w:tcPr>
          <w:tcW w:w="3471" w:type="dxa"/>
          <w:gridSpan w:val="3"/>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Bárbara/beatriz</w:t>
          </w:r>
        </w:p>
      </w:tc>
    </w:tr>
    <w:tr w:rsidR="007C5337" w:rsidTr="00C523D3">
      <w:trPr>
        <w:cantSplit/>
        <w:trHeight w:hRule="exact" w:val="170"/>
      </w:trPr>
      <w:tc>
        <w:tcPr>
          <w:tcW w:w="6431" w:type="dxa"/>
          <w:gridSpan w:val="3"/>
          <w:tcBorders>
            <w:top w:val="single" w:sz="4" w:space="0" w:color="auto"/>
            <w:left w:val="nil"/>
            <w:bottom w:val="single" w:sz="4" w:space="0" w:color="auto"/>
            <w:right w:val="nil"/>
          </w:tcBorders>
          <w:vAlign w:val="center"/>
        </w:tcPr>
        <w:p w:rsidR="007C5337" w:rsidRDefault="007C5337" w:rsidP="00C523D3">
          <w:pPr>
            <w:pStyle w:val="Cabealho"/>
          </w:pPr>
          <w:r>
            <w:rPr>
              <w:rFonts w:ascii="Arial" w:hAnsi="Arial"/>
              <w:sz w:val="12"/>
            </w:rPr>
            <w:t>7. RELATOR</w:t>
          </w:r>
        </w:p>
      </w:tc>
      <w:tc>
        <w:tcPr>
          <w:tcW w:w="160" w:type="dxa"/>
          <w:tcBorders>
            <w:top w:val="nil"/>
            <w:left w:val="nil"/>
            <w:bottom w:val="nil"/>
            <w:right w:val="nil"/>
          </w:tcBorders>
          <w:vAlign w:val="center"/>
        </w:tcPr>
        <w:p w:rsidR="007C5337" w:rsidRDefault="007C5337" w:rsidP="00C523D3">
          <w:pPr>
            <w:pStyle w:val="Cabealho"/>
          </w:pPr>
        </w:p>
      </w:tc>
      <w:tc>
        <w:tcPr>
          <w:tcW w:w="3471" w:type="dxa"/>
          <w:gridSpan w:val="3"/>
          <w:tcBorders>
            <w:top w:val="single" w:sz="4" w:space="0" w:color="auto"/>
            <w:left w:val="nil"/>
            <w:bottom w:val="single" w:sz="4" w:space="0" w:color="auto"/>
            <w:right w:val="nil"/>
          </w:tcBorders>
          <w:vAlign w:val="center"/>
        </w:tcPr>
        <w:p w:rsidR="007C5337" w:rsidRDefault="007C5337" w:rsidP="00C523D3">
          <w:pPr>
            <w:pStyle w:val="Cabealho"/>
          </w:pPr>
        </w:p>
      </w:tc>
    </w:tr>
    <w:tr w:rsidR="007C5337" w:rsidTr="00C523D3">
      <w:trPr>
        <w:cantSplit/>
        <w:trHeight w:hRule="exact" w:val="340"/>
      </w:trPr>
      <w:tc>
        <w:tcPr>
          <w:tcW w:w="10062" w:type="dxa"/>
          <w:gridSpan w:val="7"/>
          <w:tcBorders>
            <w:top w:val="single" w:sz="4" w:space="0" w:color="auto"/>
            <w:left w:val="single" w:sz="4" w:space="0" w:color="auto"/>
            <w:bottom w:val="single" w:sz="4" w:space="0" w:color="auto"/>
            <w:right w:val="single" w:sz="4" w:space="0" w:color="auto"/>
          </w:tcBorders>
          <w:vAlign w:val="center"/>
        </w:tcPr>
        <w:p w:rsidR="007C5337" w:rsidRDefault="007C5337" w:rsidP="00C523D3">
          <w:pPr>
            <w:pStyle w:val="Cabealho"/>
            <w:rPr>
              <w:rFonts w:ascii="Arial" w:hAnsi="Arial"/>
            </w:rPr>
          </w:pPr>
          <w:r>
            <w:rPr>
              <w:rFonts w:ascii="Arial" w:hAnsi="Arial"/>
            </w:rPr>
            <w:t xml:space="preserve">Desembargador Federal Daniel Paes Ribeiro </w:t>
          </w:r>
        </w:p>
      </w:tc>
    </w:tr>
    <w:tr w:rsidR="007C5337" w:rsidTr="00C523D3">
      <w:trPr>
        <w:cantSplit/>
        <w:trHeight w:hRule="exact" w:val="170"/>
      </w:trPr>
      <w:tc>
        <w:tcPr>
          <w:tcW w:w="6431" w:type="dxa"/>
          <w:gridSpan w:val="3"/>
          <w:tcBorders>
            <w:top w:val="single" w:sz="4" w:space="0" w:color="auto"/>
            <w:left w:val="nil"/>
            <w:bottom w:val="single" w:sz="4" w:space="0" w:color="auto"/>
            <w:right w:val="nil"/>
          </w:tcBorders>
          <w:vAlign w:val="center"/>
        </w:tcPr>
        <w:p w:rsidR="007C5337" w:rsidRDefault="007C5337" w:rsidP="00C523D3">
          <w:pPr>
            <w:pStyle w:val="Cabealho"/>
          </w:pPr>
          <w:r>
            <w:rPr>
              <w:rFonts w:ascii="Arial" w:hAnsi="Arial"/>
              <w:sz w:val="12"/>
            </w:rPr>
            <w:t>8. PROCESSO / NÚMERO / PROCEDÊNCIA</w:t>
          </w:r>
        </w:p>
      </w:tc>
      <w:tc>
        <w:tcPr>
          <w:tcW w:w="160" w:type="dxa"/>
          <w:tcBorders>
            <w:top w:val="nil"/>
            <w:left w:val="nil"/>
            <w:bottom w:val="single" w:sz="4" w:space="0" w:color="auto"/>
            <w:right w:val="nil"/>
          </w:tcBorders>
          <w:vAlign w:val="center"/>
        </w:tcPr>
        <w:p w:rsidR="007C5337" w:rsidRDefault="007C5337" w:rsidP="00C523D3">
          <w:pPr>
            <w:pStyle w:val="Cabealho"/>
          </w:pPr>
        </w:p>
      </w:tc>
      <w:tc>
        <w:tcPr>
          <w:tcW w:w="3471" w:type="dxa"/>
          <w:gridSpan w:val="3"/>
          <w:tcBorders>
            <w:top w:val="single" w:sz="4" w:space="0" w:color="auto"/>
            <w:left w:val="nil"/>
            <w:bottom w:val="single" w:sz="4" w:space="0" w:color="auto"/>
            <w:right w:val="nil"/>
          </w:tcBorders>
          <w:vAlign w:val="center"/>
        </w:tcPr>
        <w:p w:rsidR="007C5337" w:rsidRDefault="007C5337" w:rsidP="00C523D3">
          <w:pPr>
            <w:pStyle w:val="Cabealho"/>
          </w:pPr>
        </w:p>
      </w:tc>
    </w:tr>
    <w:tr w:rsidR="007C5337" w:rsidRPr="00425A64" w:rsidTr="00C523D3">
      <w:trPr>
        <w:cantSplit/>
        <w:trHeight w:hRule="exact" w:val="340"/>
      </w:trPr>
      <w:tc>
        <w:tcPr>
          <w:tcW w:w="10062" w:type="dxa"/>
          <w:gridSpan w:val="7"/>
          <w:tcBorders>
            <w:top w:val="single" w:sz="4" w:space="0" w:color="auto"/>
            <w:left w:val="single" w:sz="4" w:space="0" w:color="auto"/>
            <w:bottom w:val="single" w:sz="4" w:space="0" w:color="auto"/>
            <w:right w:val="single" w:sz="4" w:space="0" w:color="auto"/>
          </w:tcBorders>
          <w:vAlign w:val="center"/>
        </w:tcPr>
        <w:p w:rsidR="007C5337" w:rsidRPr="00425A64" w:rsidRDefault="007C5337" w:rsidP="00C523D3">
          <w:pPr>
            <w:rPr>
              <w:rFonts w:ascii="Arial" w:hAnsi="Arial" w:cs="Arial"/>
            </w:rPr>
          </w:pPr>
          <w:r>
            <w:rPr>
              <w:rFonts w:ascii="Arial" w:hAnsi="Arial" w:cs="Arial"/>
            </w:rPr>
            <w:t>IRDR 0045947-19.2017.4.01.0000/DF</w:t>
          </w:r>
        </w:p>
      </w:tc>
    </w:tr>
  </w:tbl>
  <w:p w:rsidR="007C5337" w:rsidRDefault="007C5337" w:rsidP="00DA6D24">
    <w:pPr>
      <w:pStyle w:val="Cabealho"/>
    </w:pPr>
  </w:p>
  <w:p w:rsidR="007C5337" w:rsidRDefault="007C5337" w:rsidP="00DA6D2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3E5039"/>
    <w:multiLevelType w:val="hybridMultilevel"/>
    <w:tmpl w:val="3CA85BB2"/>
    <w:lvl w:ilvl="0" w:tplc="D0027FCA">
      <w:start w:val="1"/>
      <w:numFmt w:val="decimal"/>
      <w:lvlText w:val="%1-"/>
      <w:lvlJc w:val="left"/>
      <w:pPr>
        <w:tabs>
          <w:tab w:val="num" w:pos="1069"/>
        </w:tabs>
        <w:ind w:left="1069" w:hanging="360"/>
      </w:pPr>
      <w:rPr>
        <w:rFonts w:hint="default"/>
      </w:rPr>
    </w:lvl>
    <w:lvl w:ilvl="1" w:tplc="5164BCEA">
      <w:start w:val="1"/>
      <w:numFmt w:val="lowerLetter"/>
      <w:lvlText w:val="%2)"/>
      <w:lvlJc w:val="left"/>
      <w:pPr>
        <w:tabs>
          <w:tab w:val="num" w:pos="1789"/>
        </w:tabs>
        <w:ind w:left="1789" w:hanging="360"/>
      </w:pPr>
      <w:rPr>
        <w:rFonts w:hint="default"/>
      </w:r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1" w:dllVersion="513" w:checkStyle="1"/>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226"/>
  </w:hdrShapeDefaults>
  <w:footnotePr>
    <w:footnote w:id="-1"/>
    <w:footnote w:id="0"/>
  </w:footnotePr>
  <w:endnotePr>
    <w:endnote w:id="-1"/>
    <w:endnote w:id="0"/>
  </w:endnotePr>
  <w:compat/>
  <w:rsids>
    <w:rsidRoot w:val="007D207F"/>
    <w:rsid w:val="00004A66"/>
    <w:rsid w:val="00011D54"/>
    <w:rsid w:val="00024068"/>
    <w:rsid w:val="0003364F"/>
    <w:rsid w:val="000740E8"/>
    <w:rsid w:val="00074BA4"/>
    <w:rsid w:val="000757DE"/>
    <w:rsid w:val="00097067"/>
    <w:rsid w:val="000B56EC"/>
    <w:rsid w:val="000B5D8D"/>
    <w:rsid w:val="000C66EB"/>
    <w:rsid w:val="000E02A8"/>
    <w:rsid w:val="00115984"/>
    <w:rsid w:val="00115DB8"/>
    <w:rsid w:val="001375F0"/>
    <w:rsid w:val="00137EBE"/>
    <w:rsid w:val="001452BB"/>
    <w:rsid w:val="00150894"/>
    <w:rsid w:val="001616C2"/>
    <w:rsid w:val="00180E39"/>
    <w:rsid w:val="001A1329"/>
    <w:rsid w:val="001C32B3"/>
    <w:rsid w:val="001D2F3E"/>
    <w:rsid w:val="001F3BB1"/>
    <w:rsid w:val="00225C87"/>
    <w:rsid w:val="002350E6"/>
    <w:rsid w:val="0024070A"/>
    <w:rsid w:val="002440D1"/>
    <w:rsid w:val="002829FF"/>
    <w:rsid w:val="002B0C31"/>
    <w:rsid w:val="002B57A9"/>
    <w:rsid w:val="002E3F34"/>
    <w:rsid w:val="00326931"/>
    <w:rsid w:val="003401E6"/>
    <w:rsid w:val="003648BF"/>
    <w:rsid w:val="00373838"/>
    <w:rsid w:val="00376DE5"/>
    <w:rsid w:val="00390CE1"/>
    <w:rsid w:val="003A6577"/>
    <w:rsid w:val="003A7CB0"/>
    <w:rsid w:val="003B5B03"/>
    <w:rsid w:val="003D438F"/>
    <w:rsid w:val="00404E96"/>
    <w:rsid w:val="004072C4"/>
    <w:rsid w:val="00425A64"/>
    <w:rsid w:val="00437234"/>
    <w:rsid w:val="00440CCF"/>
    <w:rsid w:val="00442365"/>
    <w:rsid w:val="0044471B"/>
    <w:rsid w:val="004535AF"/>
    <w:rsid w:val="004638CE"/>
    <w:rsid w:val="004654AC"/>
    <w:rsid w:val="00475019"/>
    <w:rsid w:val="0049790F"/>
    <w:rsid w:val="004B25BE"/>
    <w:rsid w:val="004E25BE"/>
    <w:rsid w:val="004E3493"/>
    <w:rsid w:val="00536253"/>
    <w:rsid w:val="00573660"/>
    <w:rsid w:val="005C0A9A"/>
    <w:rsid w:val="005F0E8D"/>
    <w:rsid w:val="005F59E5"/>
    <w:rsid w:val="006120FF"/>
    <w:rsid w:val="00612561"/>
    <w:rsid w:val="00642577"/>
    <w:rsid w:val="00681EBF"/>
    <w:rsid w:val="006A0BF5"/>
    <w:rsid w:val="006C56D1"/>
    <w:rsid w:val="006D47CD"/>
    <w:rsid w:val="00702507"/>
    <w:rsid w:val="00767DE7"/>
    <w:rsid w:val="00781707"/>
    <w:rsid w:val="007A07C6"/>
    <w:rsid w:val="007A60FF"/>
    <w:rsid w:val="007C5337"/>
    <w:rsid w:val="007D207F"/>
    <w:rsid w:val="007F1837"/>
    <w:rsid w:val="0081036D"/>
    <w:rsid w:val="00810AF7"/>
    <w:rsid w:val="00815E91"/>
    <w:rsid w:val="00821786"/>
    <w:rsid w:val="00825D0F"/>
    <w:rsid w:val="008349E5"/>
    <w:rsid w:val="00843D2C"/>
    <w:rsid w:val="00844FB7"/>
    <w:rsid w:val="00847081"/>
    <w:rsid w:val="00854CED"/>
    <w:rsid w:val="008579B9"/>
    <w:rsid w:val="00891DAF"/>
    <w:rsid w:val="00897857"/>
    <w:rsid w:val="008D111D"/>
    <w:rsid w:val="008D3521"/>
    <w:rsid w:val="008D5C85"/>
    <w:rsid w:val="008D7D7D"/>
    <w:rsid w:val="008E31A3"/>
    <w:rsid w:val="008E354B"/>
    <w:rsid w:val="00900C9C"/>
    <w:rsid w:val="00922A10"/>
    <w:rsid w:val="0093053D"/>
    <w:rsid w:val="00935F1A"/>
    <w:rsid w:val="00970439"/>
    <w:rsid w:val="00970E74"/>
    <w:rsid w:val="00997A98"/>
    <w:rsid w:val="009A2F0A"/>
    <w:rsid w:val="009B6AA9"/>
    <w:rsid w:val="00A305CC"/>
    <w:rsid w:val="00A34EBA"/>
    <w:rsid w:val="00A36714"/>
    <w:rsid w:val="00A409EB"/>
    <w:rsid w:val="00A52F40"/>
    <w:rsid w:val="00A71DFE"/>
    <w:rsid w:val="00A74FE8"/>
    <w:rsid w:val="00A768A4"/>
    <w:rsid w:val="00A77AA3"/>
    <w:rsid w:val="00A77EEE"/>
    <w:rsid w:val="00A92CB6"/>
    <w:rsid w:val="00A92E99"/>
    <w:rsid w:val="00AA19CF"/>
    <w:rsid w:val="00AA346A"/>
    <w:rsid w:val="00AA6760"/>
    <w:rsid w:val="00AB2085"/>
    <w:rsid w:val="00AC41B1"/>
    <w:rsid w:val="00B235C0"/>
    <w:rsid w:val="00B41CF8"/>
    <w:rsid w:val="00B44ADF"/>
    <w:rsid w:val="00B52545"/>
    <w:rsid w:val="00B56202"/>
    <w:rsid w:val="00B568A9"/>
    <w:rsid w:val="00B95B99"/>
    <w:rsid w:val="00BB16B9"/>
    <w:rsid w:val="00BB2E18"/>
    <w:rsid w:val="00BB4D92"/>
    <w:rsid w:val="00BD06B8"/>
    <w:rsid w:val="00BF09BB"/>
    <w:rsid w:val="00BF5A55"/>
    <w:rsid w:val="00C04CDD"/>
    <w:rsid w:val="00C10F40"/>
    <w:rsid w:val="00C13BDD"/>
    <w:rsid w:val="00C25894"/>
    <w:rsid w:val="00C5734A"/>
    <w:rsid w:val="00C6184F"/>
    <w:rsid w:val="00CA2A4B"/>
    <w:rsid w:val="00CA4A8A"/>
    <w:rsid w:val="00CE07F0"/>
    <w:rsid w:val="00CE45DD"/>
    <w:rsid w:val="00D02718"/>
    <w:rsid w:val="00D11810"/>
    <w:rsid w:val="00D15B46"/>
    <w:rsid w:val="00D655DB"/>
    <w:rsid w:val="00D663AA"/>
    <w:rsid w:val="00D77112"/>
    <w:rsid w:val="00DC4D47"/>
    <w:rsid w:val="00E03A42"/>
    <w:rsid w:val="00E07E78"/>
    <w:rsid w:val="00E223A3"/>
    <w:rsid w:val="00E2688E"/>
    <w:rsid w:val="00E467CB"/>
    <w:rsid w:val="00E50A2F"/>
    <w:rsid w:val="00E80F91"/>
    <w:rsid w:val="00E970C3"/>
    <w:rsid w:val="00EB58BD"/>
    <w:rsid w:val="00EE290E"/>
    <w:rsid w:val="00F21467"/>
    <w:rsid w:val="00F22134"/>
    <w:rsid w:val="00F265F6"/>
    <w:rsid w:val="00F352D2"/>
    <w:rsid w:val="00F662C0"/>
    <w:rsid w:val="00F731A6"/>
    <w:rsid w:val="00FB266C"/>
    <w:rsid w:val="00FC0EFB"/>
    <w:rsid w:val="00FC4DCB"/>
    <w:rsid w:val="00FE06CE"/>
    <w:rsid w:val="00FE658C"/>
    <w:rsid w:val="00FF0B01"/>
    <w:rsid w:val="00FF0D60"/>
    <w:rsid w:val="00FF0E06"/>
    <w:rsid w:val="00FF734A"/>
    <w:rsid w:val="00FF7C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2F3E"/>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D2F3E"/>
    <w:pPr>
      <w:tabs>
        <w:tab w:val="center" w:pos="4419"/>
        <w:tab w:val="right" w:pos="8838"/>
      </w:tabs>
    </w:pPr>
    <w:rPr>
      <w:caps/>
    </w:rPr>
  </w:style>
  <w:style w:type="paragraph" w:styleId="Rodap">
    <w:name w:val="footer"/>
    <w:basedOn w:val="Normal"/>
    <w:rsid w:val="001D2F3E"/>
    <w:pPr>
      <w:tabs>
        <w:tab w:val="center" w:pos="4419"/>
        <w:tab w:val="right" w:pos="8838"/>
      </w:tabs>
    </w:pPr>
  </w:style>
  <w:style w:type="character" w:styleId="Nmerodepgina">
    <w:name w:val="page number"/>
    <w:basedOn w:val="Fontepargpadro"/>
    <w:rsid w:val="001D2F3E"/>
  </w:style>
  <w:style w:type="paragraph" w:customStyle="1" w:styleId="PARGRAFO">
    <w:name w:val="PARÁGRAFO"/>
    <w:rsid w:val="001D2F3E"/>
    <w:pPr>
      <w:spacing w:after="240" w:line="360" w:lineRule="auto"/>
      <w:ind w:firstLine="709"/>
      <w:jc w:val="both"/>
    </w:pPr>
    <w:rPr>
      <w:rFonts w:ascii="Arial" w:hAnsi="Arial"/>
      <w:sz w:val="24"/>
    </w:rPr>
  </w:style>
  <w:style w:type="paragraph" w:customStyle="1" w:styleId="TTULO">
    <w:name w:val="TÍTULO"/>
    <w:basedOn w:val="PARGRAFO"/>
    <w:next w:val="PARGRAFO"/>
    <w:rsid w:val="001D2F3E"/>
    <w:pPr>
      <w:spacing w:after="0"/>
      <w:ind w:firstLine="0"/>
      <w:jc w:val="center"/>
    </w:pPr>
    <w:rPr>
      <w:b/>
      <w:caps/>
    </w:rPr>
  </w:style>
</w:styles>
</file>

<file path=word/webSettings.xml><?xml version="1.0" encoding="utf-8"?>
<w:webSettings xmlns:r="http://schemas.openxmlformats.org/officeDocument/2006/relationships" xmlns:w="http://schemas.openxmlformats.org/wordprocessingml/2006/main">
  <w:divs>
    <w:div w:id="165598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301149\AppData\Local\Temp\tmpDDFA.tm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tmpDDFA.tmp</Template>
  <TotalTime>73</TotalTime>
  <Pages>5</Pages>
  <Words>1758</Words>
  <Characters>8771</Characters>
  <Application>Microsoft Office Word</Application>
  <DocSecurity>0</DocSecurity>
  <Lines>73</Lines>
  <Paragraphs>21</Paragraphs>
  <ScaleCrop>false</ScaleCrop>
  <HeadingPairs>
    <vt:vector size="2" baseType="variant">
      <vt:variant>
        <vt:lpstr>Título</vt:lpstr>
      </vt:variant>
      <vt:variant>
        <vt:i4>1</vt:i4>
      </vt:variant>
    </vt:vector>
  </HeadingPairs>
  <TitlesOfParts>
    <vt:vector size="1" baseType="lpstr">
      <vt:lpstr/>
    </vt:vector>
  </TitlesOfParts>
  <Company>TRF 1ª REGIÃO</Company>
  <LinksUpToDate>false</LinksUpToDate>
  <CharactersWithSpaces>10508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AUGUSTA VAZ DE MELLO HONORATO</dc:creator>
  <cp:lastModifiedBy>sinvaldo</cp:lastModifiedBy>
  <cp:revision>11</cp:revision>
  <cp:lastPrinted>2019-02-21T19:39:00Z</cp:lastPrinted>
  <dcterms:created xsi:type="dcterms:W3CDTF">2019-02-21T13:09:00Z</dcterms:created>
  <dcterms:modified xsi:type="dcterms:W3CDTF">2019-02-21T19:40:00Z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453962</vt:lpwstr>
  </property>
</Properties>
</file>