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258" w:rsidRPr="003406F8" w:rsidRDefault="00DF1A6A" w:rsidP="00B93258">
      <w:pPr>
        <w:pStyle w:val="TextosemFormatao"/>
        <w:rPr>
          <w:rFonts w:ascii="Arial" w:hAnsi="Arial" w:cs="Arial"/>
          <w:b/>
          <w:sz w:val="24"/>
          <w:szCs w:val="24"/>
        </w:rPr>
      </w:pPr>
      <w:r w:rsidRPr="003406F8">
        <w:rPr>
          <w:rFonts w:ascii="Arial" w:hAnsi="Arial" w:cs="Arial"/>
          <w:b/>
          <w:sz w:val="24"/>
          <w:szCs w:val="24"/>
        </w:rPr>
        <w:t>R</w:t>
      </w:r>
      <w:r w:rsidR="001848E6" w:rsidRPr="003406F8">
        <w:rPr>
          <w:rFonts w:ascii="Arial" w:hAnsi="Arial" w:cs="Arial"/>
          <w:b/>
          <w:sz w:val="24"/>
          <w:szCs w:val="24"/>
        </w:rPr>
        <w:t>ECURSO NO SENTIDO ESTRITO</w:t>
      </w:r>
      <w:r w:rsidR="00B93258" w:rsidRPr="003406F8">
        <w:rPr>
          <w:rFonts w:ascii="Arial" w:hAnsi="Arial" w:cs="Arial"/>
          <w:b/>
          <w:sz w:val="24"/>
          <w:szCs w:val="24"/>
        </w:rPr>
        <w:t xml:space="preserve"> Nº </w:t>
      </w:r>
      <w:r w:rsidR="002354E7" w:rsidRPr="003406F8">
        <w:rPr>
          <w:rFonts w:ascii="Arial" w:hAnsi="Arial" w:cs="Arial"/>
          <w:b/>
          <w:sz w:val="24"/>
          <w:szCs w:val="24"/>
        </w:rPr>
        <w:t>00</w:t>
      </w:r>
      <w:r w:rsidR="00DF6FD4" w:rsidRPr="003406F8">
        <w:rPr>
          <w:rFonts w:ascii="Arial" w:hAnsi="Arial" w:cs="Arial"/>
          <w:b/>
          <w:sz w:val="24"/>
          <w:szCs w:val="24"/>
        </w:rPr>
        <w:t>2</w:t>
      </w:r>
      <w:r w:rsidR="002354E7" w:rsidRPr="003406F8">
        <w:rPr>
          <w:rFonts w:ascii="Arial" w:hAnsi="Arial" w:cs="Arial"/>
          <w:b/>
          <w:sz w:val="24"/>
          <w:szCs w:val="24"/>
        </w:rPr>
        <w:t>4</w:t>
      </w:r>
      <w:r w:rsidR="00DF6FD4" w:rsidRPr="003406F8">
        <w:rPr>
          <w:rFonts w:ascii="Arial" w:hAnsi="Arial" w:cs="Arial"/>
          <w:b/>
          <w:sz w:val="24"/>
          <w:szCs w:val="24"/>
        </w:rPr>
        <w:t>7</w:t>
      </w:r>
      <w:r w:rsidR="002354E7" w:rsidRPr="003406F8">
        <w:rPr>
          <w:rFonts w:ascii="Arial" w:hAnsi="Arial" w:cs="Arial"/>
          <w:b/>
          <w:sz w:val="24"/>
          <w:szCs w:val="24"/>
        </w:rPr>
        <w:t>0</w:t>
      </w:r>
      <w:r w:rsidR="00DF6FD4" w:rsidRPr="003406F8">
        <w:rPr>
          <w:rFonts w:ascii="Arial" w:hAnsi="Arial" w:cs="Arial"/>
          <w:b/>
          <w:sz w:val="24"/>
          <w:szCs w:val="24"/>
        </w:rPr>
        <w:t>2</w:t>
      </w:r>
      <w:r w:rsidR="002354E7" w:rsidRPr="003406F8">
        <w:rPr>
          <w:rFonts w:ascii="Arial" w:hAnsi="Arial" w:cs="Arial"/>
          <w:b/>
          <w:sz w:val="24"/>
          <w:szCs w:val="24"/>
        </w:rPr>
        <w:t>-</w:t>
      </w:r>
      <w:r w:rsidR="00DF6FD4" w:rsidRPr="003406F8">
        <w:rPr>
          <w:rFonts w:ascii="Arial" w:hAnsi="Arial" w:cs="Arial"/>
          <w:b/>
          <w:sz w:val="24"/>
          <w:szCs w:val="24"/>
        </w:rPr>
        <w:t>34</w:t>
      </w:r>
      <w:r w:rsidR="002354E7" w:rsidRPr="003406F8">
        <w:rPr>
          <w:rFonts w:ascii="Arial" w:hAnsi="Arial" w:cs="Arial"/>
          <w:b/>
          <w:sz w:val="24"/>
          <w:szCs w:val="24"/>
        </w:rPr>
        <w:t>.201</w:t>
      </w:r>
      <w:r w:rsidR="00DF6FD4" w:rsidRPr="003406F8">
        <w:rPr>
          <w:rFonts w:ascii="Arial" w:hAnsi="Arial" w:cs="Arial"/>
          <w:b/>
          <w:sz w:val="24"/>
          <w:szCs w:val="24"/>
        </w:rPr>
        <w:t>7</w:t>
      </w:r>
      <w:r w:rsidR="00B93258" w:rsidRPr="003406F8">
        <w:rPr>
          <w:rFonts w:ascii="Arial" w:hAnsi="Arial" w:cs="Arial"/>
          <w:b/>
          <w:sz w:val="24"/>
          <w:szCs w:val="24"/>
        </w:rPr>
        <w:t>.4.01.</w:t>
      </w:r>
      <w:r w:rsidR="007C539D" w:rsidRPr="003406F8">
        <w:rPr>
          <w:rFonts w:ascii="Arial" w:hAnsi="Arial" w:cs="Arial"/>
          <w:b/>
          <w:sz w:val="24"/>
          <w:szCs w:val="24"/>
        </w:rPr>
        <w:t>3</w:t>
      </w:r>
      <w:r w:rsidR="00DF6FD4" w:rsidRPr="003406F8">
        <w:rPr>
          <w:rFonts w:ascii="Arial" w:hAnsi="Arial" w:cs="Arial"/>
          <w:b/>
          <w:sz w:val="24"/>
          <w:szCs w:val="24"/>
        </w:rPr>
        <w:t>4</w:t>
      </w:r>
      <w:r w:rsidR="001848E6" w:rsidRPr="003406F8">
        <w:rPr>
          <w:rFonts w:ascii="Arial" w:hAnsi="Arial" w:cs="Arial"/>
          <w:b/>
          <w:sz w:val="24"/>
          <w:szCs w:val="24"/>
        </w:rPr>
        <w:t>0</w:t>
      </w:r>
      <w:r w:rsidR="002354E7" w:rsidRPr="003406F8">
        <w:rPr>
          <w:rFonts w:ascii="Arial" w:hAnsi="Arial" w:cs="Arial"/>
          <w:b/>
          <w:sz w:val="24"/>
          <w:szCs w:val="24"/>
        </w:rPr>
        <w:t>0</w:t>
      </w:r>
      <w:r w:rsidR="007C539D" w:rsidRPr="003406F8">
        <w:rPr>
          <w:rFonts w:ascii="Arial" w:hAnsi="Arial" w:cs="Arial"/>
          <w:b/>
          <w:sz w:val="24"/>
          <w:szCs w:val="24"/>
        </w:rPr>
        <w:t>/</w:t>
      </w:r>
      <w:r w:rsidR="00DF6FD4" w:rsidRPr="003406F8">
        <w:rPr>
          <w:rFonts w:ascii="Arial" w:hAnsi="Arial" w:cs="Arial"/>
          <w:b/>
          <w:sz w:val="24"/>
          <w:szCs w:val="24"/>
        </w:rPr>
        <w:t>DF</w:t>
      </w:r>
    </w:p>
    <w:p w:rsidR="00B93258" w:rsidRPr="003406F8" w:rsidRDefault="00B93258" w:rsidP="00B93258">
      <w:pPr>
        <w:pStyle w:val="TextosemFormatao"/>
        <w:rPr>
          <w:rFonts w:ascii="Arial" w:hAnsi="Arial" w:cs="Arial"/>
          <w:b/>
          <w:sz w:val="24"/>
          <w:szCs w:val="24"/>
        </w:rPr>
      </w:pPr>
    </w:p>
    <w:p w:rsidR="00D64FEF" w:rsidRPr="003406F8" w:rsidRDefault="00D70441" w:rsidP="00D64FEF">
      <w:pPr>
        <w:pStyle w:val="centralizar"/>
        <w:spacing w:line="360" w:lineRule="exact"/>
        <w:rPr>
          <w:rFonts w:cs="Arial"/>
          <w:sz w:val="24"/>
        </w:rPr>
      </w:pPr>
      <w:r w:rsidRPr="003406F8">
        <w:rPr>
          <w:rFonts w:cs="Arial"/>
          <w:sz w:val="24"/>
        </w:rPr>
        <w:t>V</w:t>
      </w:r>
      <w:r w:rsidR="00B93258" w:rsidRPr="003406F8">
        <w:rPr>
          <w:rFonts w:cs="Arial"/>
          <w:sz w:val="24"/>
        </w:rPr>
        <w:t>O</w:t>
      </w:r>
      <w:r w:rsidRPr="003406F8">
        <w:rPr>
          <w:rFonts w:cs="Arial"/>
          <w:sz w:val="24"/>
        </w:rPr>
        <w:t>TO DIVERGENTE EM PARTE</w:t>
      </w:r>
      <w:r w:rsidR="00B93258" w:rsidRPr="003406F8">
        <w:rPr>
          <w:rFonts w:cs="Arial"/>
          <w:sz w:val="24"/>
        </w:rPr>
        <w:t xml:space="preserve"> </w:t>
      </w:r>
    </w:p>
    <w:p w:rsidR="00D70441" w:rsidRPr="003406F8" w:rsidRDefault="004B3641" w:rsidP="00D70441">
      <w:pPr>
        <w:pStyle w:val="centralizar"/>
        <w:spacing w:line="360" w:lineRule="exact"/>
        <w:jc w:val="both"/>
        <w:rPr>
          <w:rFonts w:cs="Arial"/>
          <w:b w:val="0"/>
          <w:sz w:val="24"/>
        </w:rPr>
      </w:pPr>
      <w:r w:rsidRPr="003406F8">
        <w:rPr>
          <w:rFonts w:cs="Arial"/>
          <w:sz w:val="24"/>
        </w:rPr>
        <w:tab/>
      </w:r>
      <w:r w:rsidR="001848E6" w:rsidRPr="003406F8">
        <w:rPr>
          <w:rFonts w:cs="Arial"/>
          <w:b w:val="0"/>
          <w:sz w:val="24"/>
        </w:rPr>
        <w:t>R</w:t>
      </w:r>
      <w:r w:rsidR="007C539D" w:rsidRPr="003406F8">
        <w:rPr>
          <w:rFonts w:cs="Arial"/>
          <w:b w:val="0"/>
          <w:sz w:val="24"/>
        </w:rPr>
        <w:t>ecurso</w:t>
      </w:r>
      <w:r w:rsidR="00840A28" w:rsidRPr="003406F8">
        <w:rPr>
          <w:rFonts w:cs="Arial"/>
          <w:b w:val="0"/>
          <w:sz w:val="24"/>
        </w:rPr>
        <w:t xml:space="preserve"> no sentido estrito interposto por Michel Miguel Elias Temer </w:t>
      </w:r>
      <w:proofErr w:type="spellStart"/>
      <w:r w:rsidR="00840A28" w:rsidRPr="003406F8">
        <w:rPr>
          <w:rFonts w:cs="Arial"/>
          <w:b w:val="0"/>
          <w:sz w:val="24"/>
        </w:rPr>
        <w:t>Lulia</w:t>
      </w:r>
      <w:proofErr w:type="spellEnd"/>
      <w:r w:rsidR="001848E6" w:rsidRPr="003406F8">
        <w:rPr>
          <w:rFonts w:cs="Arial"/>
          <w:b w:val="0"/>
          <w:sz w:val="24"/>
        </w:rPr>
        <w:t xml:space="preserve"> </w:t>
      </w:r>
      <w:r w:rsidR="00840A28" w:rsidRPr="003406F8">
        <w:rPr>
          <w:rFonts w:cs="Arial"/>
          <w:b w:val="0"/>
          <w:sz w:val="24"/>
        </w:rPr>
        <w:t xml:space="preserve">(querelante) </w:t>
      </w:r>
      <w:r w:rsidR="001848E6" w:rsidRPr="003406F8">
        <w:rPr>
          <w:rFonts w:cs="Arial"/>
          <w:b w:val="0"/>
          <w:sz w:val="24"/>
        </w:rPr>
        <w:t xml:space="preserve">da decisão pela qual o Juízo, na ação penal </w:t>
      </w:r>
      <w:r w:rsidR="00840A28" w:rsidRPr="003406F8">
        <w:rPr>
          <w:rFonts w:cs="Arial"/>
          <w:b w:val="0"/>
          <w:sz w:val="24"/>
        </w:rPr>
        <w:t xml:space="preserve">privada por ele </w:t>
      </w:r>
      <w:r w:rsidR="001848E6" w:rsidRPr="003406F8">
        <w:rPr>
          <w:rFonts w:cs="Arial"/>
          <w:b w:val="0"/>
          <w:sz w:val="24"/>
        </w:rPr>
        <w:t xml:space="preserve">proposta contra </w:t>
      </w:r>
      <w:proofErr w:type="spellStart"/>
      <w:r w:rsidR="00840A28" w:rsidRPr="003406F8">
        <w:rPr>
          <w:rFonts w:cs="Arial"/>
          <w:b w:val="0"/>
          <w:sz w:val="24"/>
        </w:rPr>
        <w:t>Joesley</w:t>
      </w:r>
      <w:proofErr w:type="spellEnd"/>
      <w:r w:rsidR="00840A28" w:rsidRPr="003406F8">
        <w:rPr>
          <w:rFonts w:cs="Arial"/>
          <w:b w:val="0"/>
          <w:sz w:val="24"/>
        </w:rPr>
        <w:t xml:space="preserve"> Mendonça Batista (querelado)</w:t>
      </w:r>
      <w:r w:rsidR="001848E6" w:rsidRPr="003406F8">
        <w:rPr>
          <w:rFonts w:cs="Arial"/>
          <w:b w:val="0"/>
          <w:sz w:val="24"/>
        </w:rPr>
        <w:t>, imputando</w:t>
      </w:r>
      <w:r w:rsidR="00D70441" w:rsidRPr="003406F8">
        <w:rPr>
          <w:rFonts w:cs="Arial"/>
          <w:b w:val="0"/>
          <w:sz w:val="24"/>
        </w:rPr>
        <w:t xml:space="preserve"> ao querelado</w:t>
      </w:r>
      <w:r w:rsidR="001848E6" w:rsidRPr="003406F8">
        <w:rPr>
          <w:rFonts w:cs="Arial"/>
          <w:b w:val="0"/>
          <w:sz w:val="24"/>
        </w:rPr>
        <w:t xml:space="preserve"> a prática do</w:t>
      </w:r>
      <w:r w:rsidR="00D70441" w:rsidRPr="003406F8">
        <w:rPr>
          <w:rFonts w:cs="Arial"/>
          <w:b w:val="0"/>
          <w:sz w:val="24"/>
        </w:rPr>
        <w:t>s</w:t>
      </w:r>
      <w:r w:rsidR="001848E6" w:rsidRPr="003406F8">
        <w:rPr>
          <w:rFonts w:cs="Arial"/>
          <w:b w:val="0"/>
          <w:sz w:val="24"/>
        </w:rPr>
        <w:t xml:space="preserve"> crime</w:t>
      </w:r>
      <w:r w:rsidR="00D70441" w:rsidRPr="003406F8">
        <w:rPr>
          <w:rFonts w:cs="Arial"/>
          <w:b w:val="0"/>
          <w:sz w:val="24"/>
        </w:rPr>
        <w:t>s</w:t>
      </w:r>
      <w:r w:rsidR="001848E6" w:rsidRPr="003406F8">
        <w:rPr>
          <w:rFonts w:cs="Arial"/>
          <w:b w:val="0"/>
          <w:sz w:val="24"/>
        </w:rPr>
        <w:t xml:space="preserve"> de</w:t>
      </w:r>
      <w:r w:rsidR="002354E7" w:rsidRPr="003406F8">
        <w:rPr>
          <w:rFonts w:cs="Arial"/>
          <w:b w:val="0"/>
          <w:sz w:val="24"/>
        </w:rPr>
        <w:t xml:space="preserve"> </w:t>
      </w:r>
      <w:r w:rsidR="00D70441" w:rsidRPr="003406F8">
        <w:rPr>
          <w:rFonts w:cs="Arial"/>
          <w:b w:val="0"/>
          <w:sz w:val="24"/>
        </w:rPr>
        <w:t>calúnia, difamação e injúria, rejeitou a queixa. CP, Art. 138, Art. 139 e Art. 140.</w:t>
      </w:r>
    </w:p>
    <w:p w:rsidR="00D70441" w:rsidRPr="003406F8" w:rsidRDefault="00D70441" w:rsidP="00D70441">
      <w:pPr>
        <w:pStyle w:val="centralizar"/>
        <w:spacing w:line="360" w:lineRule="exact"/>
        <w:jc w:val="both"/>
        <w:rPr>
          <w:b w:val="0"/>
          <w:sz w:val="24"/>
        </w:rPr>
      </w:pPr>
      <w:r w:rsidRPr="003406F8">
        <w:rPr>
          <w:sz w:val="24"/>
        </w:rPr>
        <w:tab/>
      </w:r>
      <w:r w:rsidRPr="003406F8">
        <w:rPr>
          <w:b w:val="0"/>
          <w:sz w:val="24"/>
        </w:rPr>
        <w:t xml:space="preserve">O eminente Relator, Desembargador Federal OLINDO MENEZES, e o ilustre Juiz Federal PABLO ZUNIGA DOURADO votaram pelo parcial provimento do recurso para receber a queixa quanto aos crimes de calúnia e difamação, bem como para reconhecer a extinção da punibilidade, em virtude da prescrição da pretensão punitiva, em relação ao crime de injúria. </w:t>
      </w:r>
    </w:p>
    <w:p w:rsidR="00D70441" w:rsidRPr="003406F8" w:rsidRDefault="00D70441" w:rsidP="00D70441">
      <w:pPr>
        <w:pStyle w:val="centralizar"/>
        <w:spacing w:line="360" w:lineRule="exact"/>
        <w:ind w:firstLine="709"/>
        <w:jc w:val="both"/>
        <w:rPr>
          <w:b w:val="0"/>
          <w:sz w:val="24"/>
        </w:rPr>
      </w:pPr>
      <w:r w:rsidRPr="003406F8">
        <w:rPr>
          <w:b w:val="0"/>
          <w:sz w:val="24"/>
        </w:rPr>
        <w:t>Pelas razões expostas adiante, respeitosamente, divirjo quanto ao recebimento da queixa.</w:t>
      </w:r>
    </w:p>
    <w:p w:rsidR="00010704" w:rsidRPr="003406F8" w:rsidRDefault="00836646" w:rsidP="00D70441">
      <w:pPr>
        <w:pStyle w:val="centralizar"/>
        <w:spacing w:line="360" w:lineRule="exact"/>
        <w:jc w:val="both"/>
        <w:rPr>
          <w:rFonts w:cs="Arial"/>
          <w:sz w:val="24"/>
        </w:rPr>
      </w:pPr>
      <w:r w:rsidRPr="003406F8">
        <w:rPr>
          <w:rFonts w:cs="Arial"/>
          <w:sz w:val="24"/>
        </w:rPr>
        <w:tab/>
      </w:r>
      <w:r w:rsidR="00B93258" w:rsidRPr="003406F8">
        <w:rPr>
          <w:rFonts w:cs="Arial"/>
          <w:sz w:val="24"/>
        </w:rPr>
        <w:t>I</w:t>
      </w:r>
    </w:p>
    <w:p w:rsidR="00D70441" w:rsidRPr="00751478" w:rsidRDefault="00D70441" w:rsidP="003406F8">
      <w:pPr>
        <w:pStyle w:val="centralizar"/>
        <w:spacing w:line="360" w:lineRule="exact"/>
        <w:ind w:firstLine="709"/>
        <w:jc w:val="both"/>
        <w:rPr>
          <w:b w:val="0"/>
          <w:sz w:val="24"/>
        </w:rPr>
      </w:pPr>
      <w:r w:rsidRPr="00751478">
        <w:rPr>
          <w:rFonts w:cs="Arial"/>
          <w:b w:val="0"/>
          <w:sz w:val="24"/>
        </w:rPr>
        <w:t xml:space="preserve">Nos dias de hoje, como decidiu a Suprema Corte dos Estados Unidos, a punição daqueles que criticam, ainda que sem perfeita </w:t>
      </w:r>
      <w:proofErr w:type="spellStart"/>
      <w:r w:rsidRPr="00751478">
        <w:rPr>
          <w:rFonts w:cs="Arial"/>
          <w:b w:val="0"/>
          <w:sz w:val="24"/>
        </w:rPr>
        <w:t>acurácia</w:t>
      </w:r>
      <w:proofErr w:type="spellEnd"/>
      <w:r w:rsidRPr="00751478">
        <w:rPr>
          <w:rFonts w:cs="Arial"/>
          <w:b w:val="0"/>
          <w:sz w:val="24"/>
        </w:rPr>
        <w:t xml:space="preserve"> quanto aos fatos, </w:t>
      </w:r>
      <w:proofErr w:type="gramStart"/>
      <w:r w:rsidRPr="00751478">
        <w:rPr>
          <w:rFonts w:cs="Arial"/>
          <w:b w:val="0"/>
          <w:sz w:val="24"/>
        </w:rPr>
        <w:t>a</w:t>
      </w:r>
      <w:proofErr w:type="gramEnd"/>
      <w:r w:rsidRPr="00751478">
        <w:rPr>
          <w:rFonts w:cs="Arial"/>
          <w:b w:val="0"/>
          <w:sz w:val="24"/>
        </w:rPr>
        <w:t xml:space="preserve"> conduta dos agentes públicos, reflete a doutrina obsoleta de que os governados não devem criticar os governantes. </w:t>
      </w:r>
      <w:proofErr w:type="spellStart"/>
      <w:r w:rsidRPr="00751478">
        <w:rPr>
          <w:rFonts w:cs="Arial"/>
          <w:b w:val="0"/>
          <w:i/>
          <w:sz w:val="24"/>
        </w:rPr>
        <w:t>New</w:t>
      </w:r>
      <w:proofErr w:type="spellEnd"/>
      <w:r w:rsidRPr="00751478">
        <w:rPr>
          <w:rFonts w:cs="Arial"/>
          <w:b w:val="0"/>
          <w:i/>
          <w:sz w:val="24"/>
        </w:rPr>
        <w:t xml:space="preserve"> York Times Co.</w:t>
      </w:r>
      <w:r w:rsidRPr="00751478">
        <w:rPr>
          <w:rFonts w:cs="Arial"/>
          <w:b w:val="0"/>
          <w:sz w:val="24"/>
        </w:rPr>
        <w:t xml:space="preserve"> </w:t>
      </w:r>
      <w:proofErr w:type="gramStart"/>
      <w:r w:rsidRPr="00751478">
        <w:rPr>
          <w:rFonts w:cs="Arial"/>
          <w:b w:val="0"/>
          <w:sz w:val="24"/>
        </w:rPr>
        <w:t>v.</w:t>
      </w:r>
      <w:proofErr w:type="gramEnd"/>
      <w:r w:rsidRPr="00751478">
        <w:rPr>
          <w:rFonts w:cs="Arial"/>
          <w:b w:val="0"/>
          <w:sz w:val="24"/>
        </w:rPr>
        <w:t xml:space="preserve"> </w:t>
      </w:r>
      <w:proofErr w:type="spellStart"/>
      <w:r w:rsidRPr="00751478">
        <w:rPr>
          <w:rFonts w:cs="Arial"/>
          <w:b w:val="0"/>
          <w:i/>
          <w:sz w:val="24"/>
        </w:rPr>
        <w:t>Sullivan</w:t>
      </w:r>
      <w:proofErr w:type="spellEnd"/>
      <w:r w:rsidRPr="00751478">
        <w:rPr>
          <w:rFonts w:cs="Arial"/>
          <w:b w:val="0"/>
          <w:sz w:val="24"/>
        </w:rPr>
        <w:t>, 376 U. S. 272 (1964</w:t>
      </w:r>
      <w:proofErr w:type="gramStart"/>
      <w:r w:rsidRPr="00751478">
        <w:rPr>
          <w:rFonts w:cs="Arial"/>
          <w:b w:val="0"/>
          <w:sz w:val="24"/>
        </w:rPr>
        <w:t>)</w:t>
      </w:r>
      <w:proofErr w:type="gramEnd"/>
      <w:r w:rsidRPr="00751478">
        <w:rPr>
          <w:rStyle w:val="Refdenotaderodap"/>
          <w:rFonts w:cs="Arial"/>
          <w:b w:val="0"/>
          <w:sz w:val="24"/>
          <w:lang w:val="en-US"/>
        </w:rPr>
        <w:footnoteReference w:id="1"/>
      </w:r>
      <w:r w:rsidRPr="00751478">
        <w:rPr>
          <w:rFonts w:cs="Arial"/>
          <w:b w:val="0"/>
          <w:sz w:val="24"/>
        </w:rPr>
        <w:t>. Esse entendimento também se aplica quando está em causa a denominada “</w:t>
      </w:r>
      <w:proofErr w:type="spellStart"/>
      <w:r w:rsidRPr="00751478">
        <w:rPr>
          <w:rFonts w:cs="Arial"/>
          <w:b w:val="0"/>
          <w:sz w:val="24"/>
        </w:rPr>
        <w:t>contempt</w:t>
      </w:r>
      <w:proofErr w:type="spellEnd"/>
      <w:r w:rsidRPr="00751478">
        <w:rPr>
          <w:rFonts w:cs="Arial"/>
          <w:b w:val="0"/>
          <w:sz w:val="24"/>
        </w:rPr>
        <w:t xml:space="preserve"> </w:t>
      </w:r>
      <w:proofErr w:type="spellStart"/>
      <w:r w:rsidRPr="00751478">
        <w:rPr>
          <w:rFonts w:cs="Arial"/>
          <w:b w:val="0"/>
          <w:sz w:val="24"/>
        </w:rPr>
        <w:t>of</w:t>
      </w:r>
      <w:proofErr w:type="spellEnd"/>
      <w:r w:rsidRPr="00751478">
        <w:rPr>
          <w:rFonts w:cs="Arial"/>
          <w:b w:val="0"/>
          <w:sz w:val="24"/>
        </w:rPr>
        <w:t xml:space="preserve"> </w:t>
      </w:r>
      <w:proofErr w:type="spellStart"/>
      <w:r w:rsidRPr="00751478">
        <w:rPr>
          <w:rFonts w:cs="Arial"/>
          <w:b w:val="0"/>
          <w:sz w:val="24"/>
        </w:rPr>
        <w:t>Court</w:t>
      </w:r>
      <w:proofErr w:type="spellEnd"/>
      <w:r w:rsidRPr="00751478">
        <w:rPr>
          <w:rFonts w:cs="Arial"/>
          <w:b w:val="0"/>
          <w:sz w:val="24"/>
        </w:rPr>
        <w:t xml:space="preserve">”, ou seja, quando o caso envolve o equivalente ao nosso desacato à autoridade judicial. Nesse caso, nem sequer considerações relativas à preocupação quanto à dignidade e à reputação do tribunal justificam a punição, como desacato, de críticas aos juízes e às suas decisões. Isso é válido, registra a Corte, ainda que a imprecação contenha meias-verdades e desinformação. A punição se justifica, se a tanto se chegar, somente na presença de um claro e iminente perigo de obstrução da justiça ou de um risco sério e evidente à administração da justiça. E se os juízes devem ser tratados como pessoas de </w:t>
      </w:r>
      <w:r w:rsidRPr="00751478">
        <w:rPr>
          <w:rFonts w:cs="Arial"/>
          <w:b w:val="0"/>
          <w:sz w:val="24"/>
        </w:rPr>
        <w:lastRenderedPageBreak/>
        <w:t xml:space="preserve">fortaleza moral, capazes de manter a serenidade em ambiente adverso, isso também se aplica aos demais agentes públicos, eleitos ou não. </w:t>
      </w:r>
      <w:proofErr w:type="spellStart"/>
      <w:r w:rsidRPr="00751478">
        <w:rPr>
          <w:rFonts w:cs="Arial"/>
          <w:b w:val="0"/>
          <w:i/>
          <w:sz w:val="24"/>
        </w:rPr>
        <w:t>New</w:t>
      </w:r>
      <w:proofErr w:type="spellEnd"/>
      <w:r w:rsidRPr="00751478">
        <w:rPr>
          <w:rFonts w:cs="Arial"/>
          <w:b w:val="0"/>
          <w:i/>
          <w:sz w:val="24"/>
        </w:rPr>
        <w:t xml:space="preserve"> York Times Co</w:t>
      </w:r>
      <w:proofErr w:type="gramStart"/>
      <w:r w:rsidRPr="00751478">
        <w:rPr>
          <w:rFonts w:cs="Arial"/>
          <w:b w:val="0"/>
          <w:i/>
          <w:sz w:val="24"/>
        </w:rPr>
        <w:t>.</w:t>
      </w:r>
      <w:r w:rsidRPr="00751478">
        <w:rPr>
          <w:rFonts w:cs="Arial"/>
          <w:b w:val="0"/>
          <w:sz w:val="24"/>
        </w:rPr>
        <w:t>,</w:t>
      </w:r>
      <w:proofErr w:type="gramEnd"/>
      <w:r w:rsidRPr="00751478">
        <w:rPr>
          <w:rFonts w:cs="Arial"/>
          <w:b w:val="0"/>
          <w:sz w:val="24"/>
        </w:rPr>
        <w:t xml:space="preserve"> 376 U. S. 272, 273</w:t>
      </w:r>
      <w:r w:rsidRPr="00751478">
        <w:rPr>
          <w:rStyle w:val="Refdenotaderodap"/>
          <w:rFonts w:cs="Arial"/>
          <w:b w:val="0"/>
          <w:sz w:val="24"/>
          <w:lang w:val="en-US"/>
        </w:rPr>
        <w:footnoteReference w:id="2"/>
      </w:r>
      <w:r w:rsidRPr="00751478">
        <w:rPr>
          <w:rFonts w:cs="Arial"/>
          <w:b w:val="0"/>
          <w:sz w:val="24"/>
        </w:rPr>
        <w:t xml:space="preserve">. Nesse contexto, a crítica aos agentes públicos pode incluir ataques veementes, cáusticos e muitas vezes desagradáveis. </w:t>
      </w:r>
      <w:proofErr w:type="spellStart"/>
      <w:r w:rsidRPr="00751478">
        <w:rPr>
          <w:rFonts w:cs="Arial"/>
          <w:b w:val="0"/>
          <w:i/>
          <w:sz w:val="24"/>
        </w:rPr>
        <w:t>New</w:t>
      </w:r>
      <w:proofErr w:type="spellEnd"/>
      <w:r w:rsidRPr="00751478">
        <w:rPr>
          <w:rFonts w:cs="Arial"/>
          <w:b w:val="0"/>
          <w:i/>
          <w:sz w:val="24"/>
        </w:rPr>
        <w:t xml:space="preserve"> York Times Co</w:t>
      </w:r>
      <w:proofErr w:type="gramStart"/>
      <w:r w:rsidRPr="00751478">
        <w:rPr>
          <w:rFonts w:cs="Arial"/>
          <w:b w:val="0"/>
          <w:i/>
          <w:sz w:val="24"/>
        </w:rPr>
        <w:t>.</w:t>
      </w:r>
      <w:r w:rsidRPr="00751478">
        <w:rPr>
          <w:rFonts w:cs="Arial"/>
          <w:b w:val="0"/>
          <w:sz w:val="24"/>
        </w:rPr>
        <w:t>,</w:t>
      </w:r>
      <w:proofErr w:type="gramEnd"/>
      <w:r w:rsidRPr="00751478">
        <w:rPr>
          <w:rFonts w:cs="Arial"/>
          <w:b w:val="0"/>
          <w:sz w:val="24"/>
        </w:rPr>
        <w:t xml:space="preserve"> 376 U. S. 270, 271</w:t>
      </w:r>
      <w:r w:rsidRPr="00751478">
        <w:rPr>
          <w:rStyle w:val="Refdenotaderodap"/>
          <w:rFonts w:cs="Arial"/>
          <w:b w:val="0"/>
          <w:sz w:val="24"/>
        </w:rPr>
        <w:footnoteReference w:id="3"/>
      </w:r>
      <w:r w:rsidRPr="00751478">
        <w:rPr>
          <w:rFonts w:cs="Arial"/>
          <w:b w:val="0"/>
          <w:sz w:val="24"/>
        </w:rPr>
        <w:t xml:space="preserve">. Por mais cáustica e veemente que seja a crítica não podemos nos esquecer das palavras de James Madison, ao registrar que a natureza do Governo Republicano é a de que o poder de censura é do povo sobre o governo, e, não, do governo sobre o povo. </w:t>
      </w:r>
      <w:proofErr w:type="spellStart"/>
      <w:r w:rsidRPr="00751478">
        <w:rPr>
          <w:rFonts w:cs="Arial"/>
          <w:b w:val="0"/>
          <w:i/>
          <w:sz w:val="24"/>
        </w:rPr>
        <w:t>New</w:t>
      </w:r>
      <w:proofErr w:type="spellEnd"/>
      <w:r w:rsidRPr="00751478">
        <w:rPr>
          <w:rFonts w:cs="Arial"/>
          <w:b w:val="0"/>
          <w:i/>
          <w:sz w:val="24"/>
        </w:rPr>
        <w:t xml:space="preserve"> York Times Co</w:t>
      </w:r>
      <w:proofErr w:type="gramStart"/>
      <w:r w:rsidRPr="00751478">
        <w:rPr>
          <w:rFonts w:cs="Arial"/>
          <w:b w:val="0"/>
          <w:i/>
          <w:sz w:val="24"/>
        </w:rPr>
        <w:t>.</w:t>
      </w:r>
      <w:r w:rsidRPr="00751478">
        <w:rPr>
          <w:rFonts w:cs="Arial"/>
          <w:b w:val="0"/>
          <w:sz w:val="24"/>
        </w:rPr>
        <w:t>,</w:t>
      </w:r>
      <w:proofErr w:type="gramEnd"/>
      <w:r w:rsidRPr="00751478">
        <w:rPr>
          <w:rFonts w:cs="Arial"/>
          <w:b w:val="0"/>
          <w:sz w:val="24"/>
        </w:rPr>
        <w:t xml:space="preserve"> 376 U. S. 275</w:t>
      </w:r>
      <w:r w:rsidRPr="00751478">
        <w:rPr>
          <w:rStyle w:val="Refdenotaderodap"/>
          <w:rFonts w:cs="Arial"/>
          <w:b w:val="0"/>
          <w:sz w:val="24"/>
        </w:rPr>
        <w:footnoteReference w:id="4"/>
      </w:r>
      <w:r w:rsidRPr="00751478">
        <w:rPr>
          <w:rFonts w:cs="Arial"/>
          <w:b w:val="0"/>
          <w:sz w:val="24"/>
        </w:rPr>
        <w:t xml:space="preserve">. </w:t>
      </w:r>
      <w:r w:rsidR="003406F8" w:rsidRPr="00751478">
        <w:rPr>
          <w:rFonts w:cs="Arial"/>
          <w:b w:val="0"/>
          <w:sz w:val="24"/>
        </w:rPr>
        <w:t>A Corte concluiu que o Estado não pode conceder indenização aos agentes públicos por difamação a não ser que possam provar a existência de malícia real (“</w:t>
      </w:r>
      <w:proofErr w:type="spellStart"/>
      <w:r w:rsidR="003406F8" w:rsidRPr="00751478">
        <w:rPr>
          <w:rFonts w:cs="Arial"/>
          <w:b w:val="0"/>
          <w:sz w:val="24"/>
        </w:rPr>
        <w:t>actual</w:t>
      </w:r>
      <w:proofErr w:type="spellEnd"/>
      <w:r w:rsidR="003406F8" w:rsidRPr="00751478">
        <w:rPr>
          <w:rFonts w:cs="Arial"/>
          <w:b w:val="0"/>
          <w:sz w:val="24"/>
        </w:rPr>
        <w:t xml:space="preserve"> </w:t>
      </w:r>
      <w:proofErr w:type="spellStart"/>
      <w:r w:rsidR="003406F8" w:rsidRPr="00751478">
        <w:rPr>
          <w:rFonts w:cs="Arial"/>
          <w:b w:val="0"/>
          <w:sz w:val="24"/>
        </w:rPr>
        <w:t>malice</w:t>
      </w:r>
      <w:proofErr w:type="spellEnd"/>
      <w:r w:rsidR="003406F8" w:rsidRPr="00751478">
        <w:rPr>
          <w:rFonts w:cs="Arial"/>
          <w:b w:val="0"/>
          <w:sz w:val="24"/>
        </w:rPr>
        <w:t xml:space="preserve">”), ou seja, que a afirmação foi feita com consciência da falsidade ou com patente desconsideração pela veracidade, ou não, dela. </w:t>
      </w:r>
      <w:proofErr w:type="spellStart"/>
      <w:r w:rsidR="003406F8" w:rsidRPr="00751478">
        <w:rPr>
          <w:rFonts w:cs="Arial"/>
          <w:b w:val="0"/>
          <w:i/>
          <w:sz w:val="24"/>
        </w:rPr>
        <w:t>New</w:t>
      </w:r>
      <w:proofErr w:type="spellEnd"/>
      <w:r w:rsidR="003406F8" w:rsidRPr="00751478">
        <w:rPr>
          <w:rFonts w:cs="Arial"/>
          <w:b w:val="0"/>
          <w:i/>
          <w:sz w:val="24"/>
        </w:rPr>
        <w:t xml:space="preserve"> York Times Co</w:t>
      </w:r>
      <w:proofErr w:type="gramStart"/>
      <w:r w:rsidR="003406F8" w:rsidRPr="00751478">
        <w:rPr>
          <w:rFonts w:cs="Arial"/>
          <w:b w:val="0"/>
          <w:sz w:val="24"/>
        </w:rPr>
        <w:t>.,</w:t>
      </w:r>
      <w:proofErr w:type="gramEnd"/>
      <w:r w:rsidR="003406F8" w:rsidRPr="00751478">
        <w:rPr>
          <w:rFonts w:cs="Arial"/>
          <w:b w:val="0"/>
          <w:sz w:val="24"/>
        </w:rPr>
        <w:t xml:space="preserve"> 376 U. S. 254.</w:t>
      </w:r>
    </w:p>
    <w:p w:rsidR="00036FC8" w:rsidRPr="00036FC8" w:rsidRDefault="00D70441" w:rsidP="008B2432">
      <w:pPr>
        <w:pStyle w:val="centralizar"/>
        <w:spacing w:line="360" w:lineRule="exact"/>
        <w:ind w:firstLine="709"/>
        <w:jc w:val="both"/>
        <w:rPr>
          <w:rFonts w:cs="Arial"/>
          <w:b w:val="0"/>
          <w:sz w:val="24"/>
        </w:rPr>
      </w:pPr>
      <w:r w:rsidRPr="00751478">
        <w:rPr>
          <w:rFonts w:cs="Arial"/>
          <w:b w:val="0"/>
          <w:sz w:val="24"/>
        </w:rPr>
        <w:t xml:space="preserve">O caso </w:t>
      </w:r>
      <w:proofErr w:type="spellStart"/>
      <w:r w:rsidRPr="00751478">
        <w:rPr>
          <w:rFonts w:cs="Arial"/>
          <w:b w:val="0"/>
          <w:i/>
          <w:sz w:val="24"/>
        </w:rPr>
        <w:t>New</w:t>
      </w:r>
      <w:proofErr w:type="spellEnd"/>
      <w:r w:rsidRPr="00751478">
        <w:rPr>
          <w:rFonts w:cs="Arial"/>
          <w:b w:val="0"/>
          <w:i/>
          <w:sz w:val="24"/>
        </w:rPr>
        <w:t xml:space="preserve"> York Times Co</w:t>
      </w:r>
      <w:r w:rsidRPr="00751478">
        <w:rPr>
          <w:rFonts w:cs="Arial"/>
          <w:b w:val="0"/>
          <w:sz w:val="24"/>
        </w:rPr>
        <w:t xml:space="preserve">. </w:t>
      </w:r>
      <w:proofErr w:type="gramStart"/>
      <w:r w:rsidRPr="00751478">
        <w:rPr>
          <w:rFonts w:cs="Arial"/>
          <w:b w:val="0"/>
          <w:sz w:val="24"/>
        </w:rPr>
        <w:t>versou</w:t>
      </w:r>
      <w:proofErr w:type="gramEnd"/>
      <w:r w:rsidRPr="00751478">
        <w:rPr>
          <w:rFonts w:cs="Arial"/>
          <w:b w:val="0"/>
          <w:sz w:val="24"/>
        </w:rPr>
        <w:t xml:space="preserve"> sobre o aspecto cível da questão</w:t>
      </w:r>
      <w:r w:rsidR="003406F8" w:rsidRPr="00751478">
        <w:rPr>
          <w:rFonts w:cs="Arial"/>
          <w:b w:val="0"/>
          <w:sz w:val="24"/>
        </w:rPr>
        <w:t xml:space="preserve"> envolvendo a alegação de difamação de agente público</w:t>
      </w:r>
      <w:r w:rsidRPr="00751478">
        <w:rPr>
          <w:rFonts w:cs="Arial"/>
          <w:b w:val="0"/>
          <w:sz w:val="24"/>
        </w:rPr>
        <w:t xml:space="preserve">. Todavia, no mesmo termo judicial de 1964, a Suprema Corte Americana concluiu pela aplicação do teste enunciado em </w:t>
      </w:r>
      <w:proofErr w:type="spellStart"/>
      <w:r w:rsidRPr="00751478">
        <w:rPr>
          <w:rFonts w:cs="Arial"/>
          <w:b w:val="0"/>
          <w:i/>
          <w:sz w:val="24"/>
        </w:rPr>
        <w:t>New</w:t>
      </w:r>
      <w:proofErr w:type="spellEnd"/>
      <w:r w:rsidRPr="00751478">
        <w:rPr>
          <w:rFonts w:cs="Arial"/>
          <w:b w:val="0"/>
          <w:i/>
          <w:sz w:val="24"/>
        </w:rPr>
        <w:t xml:space="preserve"> York Times Co</w:t>
      </w:r>
      <w:r w:rsidRPr="00751478">
        <w:rPr>
          <w:rFonts w:cs="Arial"/>
          <w:b w:val="0"/>
          <w:sz w:val="24"/>
        </w:rPr>
        <w:t xml:space="preserve">. </w:t>
      </w:r>
      <w:proofErr w:type="gramStart"/>
      <w:r w:rsidRPr="00751478">
        <w:rPr>
          <w:rFonts w:cs="Arial"/>
          <w:b w:val="0"/>
          <w:sz w:val="24"/>
        </w:rPr>
        <w:t>aos</w:t>
      </w:r>
      <w:proofErr w:type="gramEnd"/>
      <w:r w:rsidRPr="00751478">
        <w:rPr>
          <w:rFonts w:cs="Arial"/>
          <w:b w:val="0"/>
          <w:sz w:val="24"/>
        </w:rPr>
        <w:t xml:space="preserve"> casos criminais ao julgar o caso </w:t>
      </w:r>
      <w:proofErr w:type="spellStart"/>
      <w:r w:rsidRPr="00751478">
        <w:rPr>
          <w:rFonts w:cs="Arial"/>
          <w:b w:val="0"/>
          <w:i/>
          <w:sz w:val="24"/>
        </w:rPr>
        <w:t>Garrison</w:t>
      </w:r>
      <w:proofErr w:type="spellEnd"/>
      <w:r w:rsidRPr="00751478">
        <w:rPr>
          <w:rFonts w:cs="Arial"/>
          <w:b w:val="0"/>
          <w:sz w:val="24"/>
        </w:rPr>
        <w:t xml:space="preserve"> v. </w:t>
      </w:r>
      <w:r w:rsidRPr="00751478">
        <w:rPr>
          <w:rFonts w:cs="Arial"/>
          <w:b w:val="0"/>
          <w:i/>
          <w:sz w:val="24"/>
        </w:rPr>
        <w:t>Louisiana</w:t>
      </w:r>
      <w:r w:rsidRPr="00751478">
        <w:rPr>
          <w:rFonts w:cs="Arial"/>
          <w:b w:val="0"/>
          <w:sz w:val="24"/>
        </w:rPr>
        <w:t>, 379 U. S. 64 (1964).</w:t>
      </w:r>
      <w:r w:rsidR="00036FC8">
        <w:rPr>
          <w:rFonts w:cs="Arial"/>
          <w:b w:val="0"/>
          <w:sz w:val="24"/>
        </w:rPr>
        <w:t xml:space="preserve"> Cumpre observar que o teste da “</w:t>
      </w:r>
      <w:proofErr w:type="spellStart"/>
      <w:r w:rsidR="00036FC8">
        <w:rPr>
          <w:rFonts w:cs="Arial"/>
          <w:b w:val="0"/>
          <w:sz w:val="24"/>
        </w:rPr>
        <w:t>actual</w:t>
      </w:r>
      <w:proofErr w:type="spellEnd"/>
      <w:r w:rsidR="00036FC8">
        <w:rPr>
          <w:rFonts w:cs="Arial"/>
          <w:b w:val="0"/>
          <w:sz w:val="24"/>
        </w:rPr>
        <w:t xml:space="preserve"> </w:t>
      </w:r>
      <w:proofErr w:type="spellStart"/>
      <w:r w:rsidR="00036FC8">
        <w:rPr>
          <w:rFonts w:cs="Arial"/>
          <w:b w:val="0"/>
          <w:sz w:val="24"/>
        </w:rPr>
        <w:t>malice</w:t>
      </w:r>
      <w:proofErr w:type="spellEnd"/>
      <w:r w:rsidR="00036FC8">
        <w:rPr>
          <w:rFonts w:cs="Arial"/>
          <w:b w:val="0"/>
          <w:sz w:val="24"/>
        </w:rPr>
        <w:t xml:space="preserve">” tem sido aplicado pelo STF em casos cíveis e criminais. </w:t>
      </w:r>
      <w:r w:rsidR="00B01D45">
        <w:rPr>
          <w:rFonts w:cs="Arial"/>
          <w:b w:val="0"/>
          <w:sz w:val="24"/>
        </w:rPr>
        <w:t>(</w:t>
      </w:r>
      <w:r w:rsidR="00036FC8">
        <w:rPr>
          <w:rFonts w:cs="Arial"/>
          <w:b w:val="0"/>
          <w:sz w:val="24"/>
        </w:rPr>
        <w:t xml:space="preserve">STF, </w:t>
      </w:r>
      <w:r w:rsidR="00036FC8" w:rsidRPr="00036FC8">
        <w:rPr>
          <w:rFonts w:cs="Arial"/>
          <w:b w:val="0"/>
          <w:sz w:val="24"/>
        </w:rPr>
        <w:t>ADPF 601 MC/DF</w:t>
      </w:r>
      <w:r w:rsidR="00036FC8">
        <w:rPr>
          <w:rFonts w:cs="Arial"/>
          <w:b w:val="0"/>
          <w:sz w:val="24"/>
        </w:rPr>
        <w:t xml:space="preserve">, </w:t>
      </w:r>
      <w:r w:rsidR="00036FC8" w:rsidRPr="00036FC8">
        <w:rPr>
          <w:rFonts w:cs="Arial"/>
          <w:b w:val="0"/>
          <w:sz w:val="24"/>
        </w:rPr>
        <w:t>Rel</w:t>
      </w:r>
      <w:r w:rsidR="00036FC8">
        <w:rPr>
          <w:rFonts w:cs="Arial"/>
          <w:b w:val="0"/>
          <w:sz w:val="24"/>
        </w:rPr>
        <w:t>.</w:t>
      </w:r>
      <w:r w:rsidR="00036FC8" w:rsidRPr="00036FC8">
        <w:rPr>
          <w:rFonts w:cs="Arial"/>
          <w:b w:val="0"/>
          <w:sz w:val="24"/>
        </w:rPr>
        <w:t xml:space="preserve"> Min. GILMAR MENDES</w:t>
      </w:r>
      <w:r w:rsidR="00036FC8">
        <w:rPr>
          <w:rFonts w:cs="Arial"/>
          <w:b w:val="0"/>
          <w:sz w:val="24"/>
        </w:rPr>
        <w:t>, julgado em</w:t>
      </w:r>
      <w:r w:rsidR="00036FC8" w:rsidRPr="00036FC8">
        <w:rPr>
          <w:rFonts w:cs="Arial"/>
          <w:b w:val="0"/>
          <w:sz w:val="24"/>
        </w:rPr>
        <w:t xml:space="preserve"> 07/08/2019</w:t>
      </w:r>
      <w:r w:rsidR="00036FC8">
        <w:rPr>
          <w:rFonts w:cs="Arial"/>
          <w:b w:val="0"/>
          <w:sz w:val="24"/>
        </w:rPr>
        <w:t xml:space="preserve">, </w:t>
      </w:r>
      <w:proofErr w:type="spellStart"/>
      <w:proofErr w:type="gramStart"/>
      <w:r w:rsidR="00036FC8">
        <w:rPr>
          <w:rFonts w:cs="Arial"/>
          <w:b w:val="0"/>
          <w:sz w:val="24"/>
        </w:rPr>
        <w:t>DJe</w:t>
      </w:r>
      <w:proofErr w:type="spellEnd"/>
      <w:proofErr w:type="gramEnd"/>
      <w:r w:rsidR="00036FC8">
        <w:rPr>
          <w:rFonts w:cs="Arial"/>
          <w:b w:val="0"/>
          <w:sz w:val="24"/>
        </w:rPr>
        <w:t xml:space="preserve"> 12/08/2019</w:t>
      </w:r>
      <w:r w:rsidR="00B01D45">
        <w:rPr>
          <w:rFonts w:cs="Arial"/>
          <w:b w:val="0"/>
          <w:sz w:val="24"/>
        </w:rPr>
        <w:t xml:space="preserve">. </w:t>
      </w:r>
      <w:r w:rsidR="00036FC8">
        <w:rPr>
          <w:rFonts w:cs="Arial"/>
          <w:b w:val="0"/>
          <w:sz w:val="24"/>
        </w:rPr>
        <w:t xml:space="preserve">Caso envolvendo a instauração de inquérito policial contra o jornalista </w:t>
      </w:r>
      <w:proofErr w:type="spellStart"/>
      <w:r w:rsidR="00036FC8">
        <w:rPr>
          <w:rFonts w:cs="Arial"/>
          <w:b w:val="0"/>
          <w:sz w:val="24"/>
        </w:rPr>
        <w:t>Glen</w:t>
      </w:r>
      <w:proofErr w:type="spellEnd"/>
      <w:r w:rsidR="00036FC8">
        <w:rPr>
          <w:rFonts w:cs="Arial"/>
          <w:b w:val="0"/>
          <w:sz w:val="24"/>
        </w:rPr>
        <w:t xml:space="preserve"> </w:t>
      </w:r>
      <w:proofErr w:type="spellStart"/>
      <w:r w:rsidR="00036FC8">
        <w:rPr>
          <w:rFonts w:cs="Arial"/>
          <w:b w:val="0"/>
          <w:sz w:val="24"/>
        </w:rPr>
        <w:t>Greenwald</w:t>
      </w:r>
      <w:proofErr w:type="spellEnd"/>
      <w:r w:rsidR="00036FC8">
        <w:rPr>
          <w:rFonts w:cs="Arial"/>
          <w:b w:val="0"/>
          <w:sz w:val="24"/>
        </w:rPr>
        <w:t xml:space="preserve">.); </w:t>
      </w:r>
      <w:proofErr w:type="spellStart"/>
      <w:r w:rsidR="008B2432" w:rsidRPr="008B2432">
        <w:rPr>
          <w:rFonts w:cs="Arial"/>
          <w:b w:val="0"/>
          <w:sz w:val="24"/>
        </w:rPr>
        <w:t>Rcl</w:t>
      </w:r>
      <w:proofErr w:type="spellEnd"/>
      <w:r w:rsidR="008B2432" w:rsidRPr="008B2432">
        <w:rPr>
          <w:rFonts w:cs="Arial"/>
          <w:b w:val="0"/>
          <w:sz w:val="24"/>
        </w:rPr>
        <w:t xml:space="preserve"> 30105/PA</w:t>
      </w:r>
      <w:r w:rsidR="008B2432">
        <w:rPr>
          <w:rFonts w:cs="Arial"/>
          <w:b w:val="0"/>
          <w:sz w:val="24"/>
        </w:rPr>
        <w:t xml:space="preserve">, </w:t>
      </w:r>
      <w:r w:rsidR="008B2432" w:rsidRPr="008B2432">
        <w:rPr>
          <w:rFonts w:cs="Arial"/>
          <w:b w:val="0"/>
          <w:sz w:val="24"/>
        </w:rPr>
        <w:t>Rel</w:t>
      </w:r>
      <w:r w:rsidR="008B2432">
        <w:rPr>
          <w:rFonts w:cs="Arial"/>
          <w:b w:val="0"/>
          <w:sz w:val="24"/>
        </w:rPr>
        <w:t>.</w:t>
      </w:r>
      <w:r w:rsidR="008B2432" w:rsidRPr="008B2432">
        <w:rPr>
          <w:rFonts w:cs="Arial"/>
          <w:b w:val="0"/>
          <w:sz w:val="24"/>
        </w:rPr>
        <w:t xml:space="preserve"> Min. LUIZ FUX</w:t>
      </w:r>
      <w:r w:rsidR="008B2432">
        <w:rPr>
          <w:rFonts w:cs="Arial"/>
          <w:b w:val="0"/>
          <w:sz w:val="24"/>
        </w:rPr>
        <w:t>, julgado em</w:t>
      </w:r>
      <w:r w:rsidR="008B2432" w:rsidRPr="008B2432">
        <w:rPr>
          <w:rFonts w:cs="Arial"/>
          <w:b w:val="0"/>
          <w:sz w:val="24"/>
        </w:rPr>
        <w:t xml:space="preserve"> 13/06/2018</w:t>
      </w:r>
      <w:r w:rsidR="008B2432">
        <w:rPr>
          <w:rFonts w:cs="Arial"/>
          <w:b w:val="0"/>
          <w:sz w:val="24"/>
        </w:rPr>
        <w:t xml:space="preserve">, </w:t>
      </w:r>
      <w:proofErr w:type="spellStart"/>
      <w:r w:rsidR="008B2432">
        <w:rPr>
          <w:rFonts w:cs="Arial"/>
          <w:b w:val="0"/>
          <w:sz w:val="24"/>
        </w:rPr>
        <w:t>DJe</w:t>
      </w:r>
      <w:proofErr w:type="spellEnd"/>
      <w:r w:rsidR="008B2432">
        <w:rPr>
          <w:rFonts w:cs="Arial"/>
          <w:b w:val="0"/>
          <w:sz w:val="24"/>
        </w:rPr>
        <w:t xml:space="preserve"> 15/06/2018</w:t>
      </w:r>
      <w:r w:rsidR="00B01D45">
        <w:rPr>
          <w:rFonts w:cs="Arial"/>
          <w:b w:val="0"/>
          <w:sz w:val="24"/>
        </w:rPr>
        <w:t xml:space="preserve">. </w:t>
      </w:r>
      <w:proofErr w:type="gramStart"/>
      <w:r w:rsidR="008F76B7">
        <w:rPr>
          <w:rFonts w:cs="Arial"/>
          <w:b w:val="0"/>
          <w:sz w:val="24"/>
        </w:rPr>
        <w:t xml:space="preserve">Caso cível envolvendo matérias ofensivas divulgadas na </w:t>
      </w:r>
      <w:r w:rsidR="00B01D45">
        <w:rPr>
          <w:rFonts w:cs="Arial"/>
          <w:b w:val="0"/>
          <w:sz w:val="24"/>
        </w:rPr>
        <w:t>I</w:t>
      </w:r>
      <w:r w:rsidR="008F76B7">
        <w:rPr>
          <w:rFonts w:cs="Arial"/>
          <w:b w:val="0"/>
          <w:sz w:val="24"/>
        </w:rPr>
        <w:t>nternet.)</w:t>
      </w:r>
      <w:proofErr w:type="gramEnd"/>
    </w:p>
    <w:p w:rsidR="00E73410" w:rsidRPr="003406F8" w:rsidRDefault="00737945" w:rsidP="00E73410">
      <w:pPr>
        <w:pStyle w:val="centralizar"/>
        <w:spacing w:line="360" w:lineRule="exact"/>
        <w:ind w:firstLine="709"/>
        <w:jc w:val="both"/>
        <w:rPr>
          <w:rFonts w:cs="Arial"/>
          <w:sz w:val="24"/>
        </w:rPr>
      </w:pPr>
      <w:r w:rsidRPr="003406F8">
        <w:rPr>
          <w:rFonts w:cs="Arial"/>
          <w:sz w:val="24"/>
        </w:rPr>
        <w:t>II</w:t>
      </w:r>
    </w:p>
    <w:p w:rsidR="00D70441" w:rsidRPr="003406F8" w:rsidRDefault="00D70441" w:rsidP="00D70441">
      <w:pPr>
        <w:pStyle w:val="Pargrafo"/>
        <w:spacing w:line="360" w:lineRule="exact"/>
        <w:ind w:firstLine="709"/>
        <w:rPr>
          <w:rFonts w:eastAsia="Calibri" w:cs="Arial"/>
          <w:sz w:val="24"/>
        </w:rPr>
      </w:pPr>
      <w:r w:rsidRPr="003406F8">
        <w:rPr>
          <w:rFonts w:eastAsia="Calibri" w:cs="Arial"/>
          <w:sz w:val="24"/>
        </w:rPr>
        <w:t>Aquele que “[c</w:t>
      </w:r>
      <w:proofErr w:type="gramStart"/>
      <w:r w:rsidRPr="003406F8">
        <w:rPr>
          <w:rFonts w:eastAsia="Calibri" w:cs="Arial"/>
          <w:sz w:val="24"/>
        </w:rPr>
        <w:t>]</w:t>
      </w:r>
      <w:proofErr w:type="spellStart"/>
      <w:r w:rsidRPr="003406F8">
        <w:rPr>
          <w:rFonts w:eastAsia="Calibri" w:cs="Arial"/>
          <w:sz w:val="24"/>
        </w:rPr>
        <w:t>aluniar</w:t>
      </w:r>
      <w:proofErr w:type="spellEnd"/>
      <w:proofErr w:type="gramEnd"/>
      <w:r w:rsidRPr="003406F8">
        <w:rPr>
          <w:rFonts w:eastAsia="Calibri" w:cs="Arial"/>
          <w:sz w:val="24"/>
        </w:rPr>
        <w:t xml:space="preserve"> alguém, imputando-lhe </w:t>
      </w:r>
      <w:r w:rsidRPr="003406F8">
        <w:rPr>
          <w:rFonts w:eastAsia="Calibri" w:cs="Arial"/>
          <w:i/>
          <w:sz w:val="24"/>
        </w:rPr>
        <w:t>falsamente</w:t>
      </w:r>
      <w:r w:rsidRPr="003406F8">
        <w:rPr>
          <w:rFonts w:eastAsia="Calibri" w:cs="Arial"/>
          <w:sz w:val="24"/>
        </w:rPr>
        <w:t xml:space="preserve"> fato definido como crime”, está sujeito à pena de seis meses a dois anos, e multa. CP, Art. 138, </w:t>
      </w:r>
      <w:r w:rsidRPr="003406F8">
        <w:rPr>
          <w:rFonts w:eastAsia="Calibri" w:cs="Arial"/>
          <w:i/>
          <w:sz w:val="24"/>
        </w:rPr>
        <w:t>caput</w:t>
      </w:r>
      <w:r w:rsidRPr="003406F8">
        <w:rPr>
          <w:rFonts w:eastAsia="Calibri" w:cs="Arial"/>
          <w:sz w:val="24"/>
        </w:rPr>
        <w:t xml:space="preserve">. (Grifo </w:t>
      </w:r>
      <w:r w:rsidRPr="003406F8">
        <w:rPr>
          <w:rFonts w:eastAsia="Calibri" w:cs="Arial"/>
          <w:sz w:val="24"/>
        </w:rPr>
        <w:lastRenderedPageBreak/>
        <w:t>acrescentado.) Essa pena é aumentada de um terço em caso de delito perpetrado “contra funcionário público, em razão de suas funções”. CP, Art. 141, inciso II.</w:t>
      </w:r>
    </w:p>
    <w:p w:rsidR="00D70441" w:rsidRPr="003406F8" w:rsidRDefault="00D70441" w:rsidP="00D70441">
      <w:pPr>
        <w:pStyle w:val="Pargrafo"/>
        <w:spacing w:line="360" w:lineRule="exact"/>
        <w:ind w:firstLine="709"/>
        <w:rPr>
          <w:rFonts w:eastAsia="Calibri" w:cs="Arial"/>
          <w:sz w:val="24"/>
        </w:rPr>
      </w:pPr>
      <w:r w:rsidRPr="003406F8">
        <w:rPr>
          <w:rFonts w:eastAsia="Calibri" w:cs="Arial"/>
          <w:sz w:val="24"/>
        </w:rPr>
        <w:t xml:space="preserve">“O crime previsto no artigo 138 do Código Penal (Calúnia), segundo DAMÁSIO E. DE JESUS, tem como conduta punível ‘atribuir a outrem, </w:t>
      </w:r>
      <w:r w:rsidRPr="003406F8">
        <w:rPr>
          <w:rFonts w:eastAsia="Calibri" w:cs="Arial"/>
          <w:i/>
          <w:sz w:val="24"/>
        </w:rPr>
        <w:t>falsamente</w:t>
      </w:r>
      <w:r w:rsidRPr="003406F8">
        <w:rPr>
          <w:rFonts w:eastAsia="Calibri" w:cs="Arial"/>
          <w:sz w:val="24"/>
        </w:rPr>
        <w:t xml:space="preserve">, a prática de fato definido como crime’. Incrimina-se, assim, o comportamento de quem atribui a terceiro, </w:t>
      </w:r>
      <w:r w:rsidRPr="007259F9">
        <w:rPr>
          <w:rFonts w:eastAsia="Calibri" w:cs="Arial"/>
          <w:b/>
          <w:sz w:val="24"/>
        </w:rPr>
        <w:t>falsamente</w:t>
      </w:r>
      <w:r w:rsidRPr="003406F8">
        <w:rPr>
          <w:rFonts w:eastAsia="Calibri" w:cs="Arial"/>
          <w:sz w:val="24"/>
        </w:rPr>
        <w:t>, a</w:t>
      </w:r>
      <w:proofErr w:type="gramStart"/>
      <w:r w:rsidRPr="003406F8">
        <w:rPr>
          <w:rFonts w:eastAsia="Calibri" w:cs="Arial"/>
          <w:sz w:val="24"/>
        </w:rPr>
        <w:t xml:space="preserve">  </w:t>
      </w:r>
      <w:proofErr w:type="gramEnd"/>
      <w:r w:rsidRPr="003406F8">
        <w:rPr>
          <w:rFonts w:eastAsia="Calibri" w:cs="Arial"/>
          <w:sz w:val="24"/>
        </w:rPr>
        <w:t xml:space="preserve">prática de crime, tendo como elemento subjetivo do tipo, em primeiro  lugar, o dolo de dano, ou seja, ‘o sujeito tem a intenção de macular  a reputação da vítima’, ou seja a sua honra objetiva. ‘O momento  </w:t>
      </w:r>
      <w:proofErr w:type="spellStart"/>
      <w:r w:rsidRPr="003406F8">
        <w:rPr>
          <w:rFonts w:eastAsia="Calibri" w:cs="Arial"/>
          <w:sz w:val="24"/>
        </w:rPr>
        <w:t>consumativo</w:t>
      </w:r>
      <w:proofErr w:type="spellEnd"/>
      <w:r w:rsidRPr="003406F8">
        <w:rPr>
          <w:rFonts w:eastAsia="Calibri" w:cs="Arial"/>
          <w:sz w:val="24"/>
        </w:rPr>
        <w:t xml:space="preserve"> da calúnia ocorre no instante em que a imputação chega ao  conhecimento de um terceiro que não a vítima.’” (TRF 1ª Região, HC 78596-67.1999.4.01.0000/BA, Rel. Desembargador Federal MÁRIO CÉSAR RIBEIRO, Quarta Turma, DJ p. 1159 de 17/03/2000.)</w:t>
      </w:r>
      <w:r w:rsidR="007259F9">
        <w:rPr>
          <w:rFonts w:eastAsia="Calibri" w:cs="Arial"/>
          <w:sz w:val="24"/>
        </w:rPr>
        <w:t xml:space="preserve"> (Grifo acrescentado.)</w:t>
      </w:r>
    </w:p>
    <w:p w:rsidR="00D70441" w:rsidRPr="003406F8" w:rsidRDefault="00D70441" w:rsidP="00D70441">
      <w:pPr>
        <w:pStyle w:val="Pargrafo"/>
        <w:spacing w:line="360" w:lineRule="exact"/>
        <w:ind w:firstLine="709"/>
        <w:rPr>
          <w:rFonts w:eastAsia="BatangChe" w:cs="Arial"/>
          <w:sz w:val="24"/>
        </w:rPr>
      </w:pPr>
      <w:r w:rsidRPr="003406F8">
        <w:rPr>
          <w:rFonts w:eastAsia="BatangChe" w:cs="Arial"/>
          <w:sz w:val="24"/>
        </w:rPr>
        <w:t xml:space="preserve">A falsidade das afirmações constitui elemento do tipo do crime de calúnia. CP, Art. 138, </w:t>
      </w:r>
      <w:r w:rsidRPr="003406F8">
        <w:rPr>
          <w:rFonts w:eastAsia="BatangChe" w:cs="Arial"/>
          <w:i/>
          <w:sz w:val="24"/>
        </w:rPr>
        <w:t>caput</w:t>
      </w:r>
      <w:r w:rsidRPr="003406F8">
        <w:rPr>
          <w:rFonts w:eastAsia="BatangChe" w:cs="Arial"/>
          <w:sz w:val="24"/>
        </w:rPr>
        <w:t>. Aqui, as afirmações feitas pelo querelado não são objetivamente falsas. O Juízo explicou, no ponto, que:</w:t>
      </w:r>
    </w:p>
    <w:p w:rsidR="00D70441" w:rsidRPr="003406F8" w:rsidRDefault="00D70441" w:rsidP="00D70441">
      <w:pPr>
        <w:pStyle w:val="Transcrio"/>
        <w:rPr>
          <w:sz w:val="24"/>
        </w:rPr>
      </w:pPr>
      <w:r w:rsidRPr="003406F8">
        <w:rPr>
          <w:sz w:val="24"/>
        </w:rPr>
        <w:t xml:space="preserve">Conforme narra </w:t>
      </w:r>
      <w:proofErr w:type="gramStart"/>
      <w:r w:rsidRPr="003406F8">
        <w:rPr>
          <w:sz w:val="24"/>
        </w:rPr>
        <w:t>a</w:t>
      </w:r>
      <w:proofErr w:type="gramEnd"/>
      <w:r w:rsidRPr="003406F8">
        <w:rPr>
          <w:sz w:val="24"/>
        </w:rPr>
        <w:t xml:space="preserve"> queixa-crime (fl. 10, segundo parágrafo), as afirmações feitas pelo QUERELADO à Revista Época se deram em contexto determinado, qual seja, no âmbito dos fatos que culminaram com o acordo de colaboração premiada que celebrou com o Ministério Público Federal, ato já devidamente homologado pelo Supremo Tribunal Federal. O inequívoco intento do QUERELADO é o de corroborar as declarações que prestou ao Ministério Público Federal, as quais, se confirmadas, indicam o cometimento de crimes pelo ora QUERELANTE.</w:t>
      </w:r>
    </w:p>
    <w:p w:rsidR="00D70441" w:rsidRPr="003406F8" w:rsidRDefault="00D70441" w:rsidP="00D70441">
      <w:pPr>
        <w:pStyle w:val="Pargrafo"/>
        <w:spacing w:line="360" w:lineRule="exact"/>
        <w:ind w:firstLine="0"/>
        <w:rPr>
          <w:rFonts w:eastAsia="Calibri" w:cs="Arial"/>
          <w:sz w:val="24"/>
        </w:rPr>
      </w:pPr>
      <w:r w:rsidRPr="003406F8">
        <w:rPr>
          <w:sz w:val="24"/>
        </w:rPr>
        <w:t>(Excerto da Decisão recorrida.) (&lt;</w:t>
      </w:r>
      <w:proofErr w:type="gramStart"/>
      <w:r w:rsidRPr="003406F8">
        <w:rPr>
          <w:sz w:val="24"/>
        </w:rPr>
        <w:t>https</w:t>
      </w:r>
      <w:proofErr w:type="gramEnd"/>
      <w:r w:rsidRPr="003406F8">
        <w:rPr>
          <w:sz w:val="24"/>
        </w:rPr>
        <w:t>://www.conjur.com.br/dl/rejeitada-queixa-temer-joesley.pdf&gt;. Acesso em: 09. Dez. 2020.) (Caixa alta original.)</w:t>
      </w:r>
    </w:p>
    <w:p w:rsidR="00EA133E" w:rsidRDefault="00EA133E" w:rsidP="00D70441">
      <w:pPr>
        <w:pStyle w:val="Pargrafo"/>
        <w:spacing w:line="360" w:lineRule="exact"/>
        <w:ind w:firstLine="709"/>
        <w:rPr>
          <w:sz w:val="24"/>
        </w:rPr>
      </w:pPr>
      <w:r w:rsidRPr="003406F8">
        <w:rPr>
          <w:rFonts w:eastAsia="Calibri" w:cs="Arial"/>
          <w:sz w:val="24"/>
        </w:rPr>
        <w:t xml:space="preserve">Considerando que o querelante </w:t>
      </w:r>
      <w:r w:rsidR="00526E66">
        <w:rPr>
          <w:rFonts w:eastAsia="Calibri" w:cs="Arial"/>
          <w:sz w:val="24"/>
        </w:rPr>
        <w:t>responde a ações penais</w:t>
      </w:r>
      <w:r w:rsidRPr="003406F8">
        <w:rPr>
          <w:rFonts w:eastAsia="Calibri" w:cs="Arial"/>
          <w:sz w:val="24"/>
        </w:rPr>
        <w:t xml:space="preserve"> pela prática dos crimes de </w:t>
      </w:r>
      <w:r w:rsidR="003406F8" w:rsidRPr="003406F8">
        <w:rPr>
          <w:rFonts w:eastAsia="Calibri" w:cs="Arial"/>
          <w:sz w:val="24"/>
        </w:rPr>
        <w:t>“[p</w:t>
      </w:r>
      <w:proofErr w:type="gramStart"/>
      <w:r w:rsidR="003406F8" w:rsidRPr="003406F8">
        <w:rPr>
          <w:rFonts w:eastAsia="Calibri" w:cs="Arial"/>
          <w:sz w:val="24"/>
        </w:rPr>
        <w:t>]</w:t>
      </w:r>
      <w:proofErr w:type="spellStart"/>
      <w:r w:rsidR="003406F8" w:rsidRPr="003406F8">
        <w:rPr>
          <w:rFonts w:cs="Arial"/>
          <w:color w:val="000000"/>
          <w:sz w:val="24"/>
        </w:rPr>
        <w:t>romover</w:t>
      </w:r>
      <w:proofErr w:type="spellEnd"/>
      <w:proofErr w:type="gramEnd"/>
      <w:r w:rsidR="003406F8" w:rsidRPr="003406F8">
        <w:rPr>
          <w:rFonts w:cs="Arial"/>
          <w:color w:val="000000"/>
          <w:sz w:val="24"/>
        </w:rPr>
        <w:t>, constituir, financiar ou integrar, pessoalmente ou por interposta pessoa, organização criminosa”</w:t>
      </w:r>
      <w:r w:rsidRPr="003406F8">
        <w:rPr>
          <w:rFonts w:eastAsia="Calibri" w:cs="Arial"/>
          <w:sz w:val="24"/>
        </w:rPr>
        <w:t xml:space="preserve"> (Lei 12.850, de</w:t>
      </w:r>
      <w:r w:rsidR="00564730">
        <w:rPr>
          <w:rFonts w:eastAsia="Calibri" w:cs="Arial"/>
          <w:sz w:val="24"/>
        </w:rPr>
        <w:t xml:space="preserve"> 2 de agosto de</w:t>
      </w:r>
      <w:r w:rsidRPr="003406F8">
        <w:rPr>
          <w:rFonts w:eastAsia="Calibri" w:cs="Arial"/>
          <w:sz w:val="24"/>
        </w:rPr>
        <w:t xml:space="preserve"> 2013, Art. 2º)</w:t>
      </w:r>
      <w:r w:rsidR="00800249">
        <w:rPr>
          <w:rFonts w:eastAsia="Calibri" w:cs="Arial"/>
          <w:sz w:val="24"/>
        </w:rPr>
        <w:t>;</w:t>
      </w:r>
      <w:r w:rsidRPr="003406F8">
        <w:rPr>
          <w:rFonts w:eastAsia="Calibri" w:cs="Arial"/>
          <w:sz w:val="24"/>
        </w:rPr>
        <w:t xml:space="preserve"> de corrupção passiva (CP, Art. 317)</w:t>
      </w:r>
      <w:r w:rsidR="00800249">
        <w:rPr>
          <w:rFonts w:eastAsia="Calibri" w:cs="Arial"/>
          <w:sz w:val="24"/>
        </w:rPr>
        <w:t>;</w:t>
      </w:r>
      <w:r w:rsidRPr="003406F8">
        <w:rPr>
          <w:rFonts w:eastAsia="Calibri" w:cs="Arial"/>
          <w:sz w:val="24"/>
        </w:rPr>
        <w:t xml:space="preserve"> e de obstrução da justiça (</w:t>
      </w:r>
      <w:r w:rsidR="003406F8" w:rsidRPr="003406F8">
        <w:rPr>
          <w:rFonts w:eastAsia="Calibri" w:cs="Arial"/>
          <w:sz w:val="24"/>
        </w:rPr>
        <w:t xml:space="preserve">“embaraça[r] a </w:t>
      </w:r>
      <w:r w:rsidR="003406F8" w:rsidRPr="003406F8">
        <w:rPr>
          <w:rFonts w:cs="Arial"/>
          <w:color w:val="000000"/>
          <w:sz w:val="24"/>
        </w:rPr>
        <w:t>investigação de infração penal que envolva organização criminosa”</w:t>
      </w:r>
      <w:r w:rsidRPr="003406F8">
        <w:rPr>
          <w:rFonts w:eastAsia="Calibri" w:cs="Arial"/>
          <w:sz w:val="24"/>
        </w:rPr>
        <w:t>) (Lei 12.850, Art. 2º, § 1º)</w:t>
      </w:r>
      <w:r w:rsidR="008E2006">
        <w:rPr>
          <w:rFonts w:eastAsia="Calibri" w:cs="Arial"/>
          <w:sz w:val="24"/>
        </w:rPr>
        <w:t>, é incontestável que as afirmações do querelante não são falsas, n</w:t>
      </w:r>
      <w:r w:rsidR="00800249">
        <w:rPr>
          <w:rFonts w:eastAsia="Calibri" w:cs="Arial"/>
          <w:sz w:val="24"/>
        </w:rPr>
        <w:t>em</w:t>
      </w:r>
      <w:r w:rsidR="008E2006">
        <w:rPr>
          <w:rFonts w:eastAsia="Calibri" w:cs="Arial"/>
          <w:sz w:val="24"/>
        </w:rPr>
        <w:t xml:space="preserve"> foram feitas com consciência da falsidade nem</w:t>
      </w:r>
      <w:r w:rsidR="00526E66">
        <w:rPr>
          <w:rFonts w:eastAsia="Calibri" w:cs="Arial"/>
          <w:sz w:val="24"/>
        </w:rPr>
        <w:t>, ainda,</w:t>
      </w:r>
      <w:r w:rsidR="008E2006">
        <w:rPr>
          <w:rFonts w:eastAsia="Calibri" w:cs="Arial"/>
          <w:sz w:val="24"/>
        </w:rPr>
        <w:t xml:space="preserve"> com patente desconsideração pela falsidade</w:t>
      </w:r>
      <w:r w:rsidR="008E2006" w:rsidRPr="00564730">
        <w:rPr>
          <w:rFonts w:eastAsia="Calibri" w:cs="Arial"/>
          <w:sz w:val="24"/>
        </w:rPr>
        <w:t>, ou não, delas.</w:t>
      </w:r>
      <w:r w:rsidR="00D5026D" w:rsidRPr="00564730">
        <w:rPr>
          <w:rFonts w:eastAsia="Calibri" w:cs="Arial"/>
          <w:sz w:val="24"/>
        </w:rPr>
        <w:t xml:space="preserve"> </w:t>
      </w:r>
      <w:r w:rsidR="00D5026D" w:rsidRPr="00564730">
        <w:rPr>
          <w:sz w:val="24"/>
        </w:rPr>
        <w:t>(Ação Penal 1013633-17.2019.4.01.3400</w:t>
      </w:r>
      <w:r w:rsidR="00CD79DA">
        <w:rPr>
          <w:sz w:val="24"/>
        </w:rPr>
        <w:t>, SJDF</w:t>
      </w:r>
      <w:r w:rsidR="00EB3963" w:rsidRPr="00564730">
        <w:rPr>
          <w:sz w:val="24"/>
        </w:rPr>
        <w:t>, Lei 12.850, Art. 2º, § 1º</w:t>
      </w:r>
      <w:r w:rsidR="00D5026D" w:rsidRPr="00564730">
        <w:rPr>
          <w:sz w:val="24"/>
        </w:rPr>
        <w:t xml:space="preserve">; </w:t>
      </w:r>
      <w:r w:rsidR="00564730" w:rsidRPr="00564730">
        <w:rPr>
          <w:sz w:val="24"/>
        </w:rPr>
        <w:t>Ações Penais 4709-34.2019.4.01.3400 e 123844.2018.4.01.3400</w:t>
      </w:r>
      <w:r w:rsidR="00CD79DA">
        <w:rPr>
          <w:sz w:val="24"/>
        </w:rPr>
        <w:t>, ambas da SJDF</w:t>
      </w:r>
      <w:r w:rsidR="00564730" w:rsidRPr="00564730">
        <w:rPr>
          <w:sz w:val="24"/>
        </w:rPr>
        <w:t>, Lei 12.850, Art. 2º, § 4º, inciso II, e Art. 2º, § 1º</w:t>
      </w:r>
      <w:r w:rsidR="00CD79DA">
        <w:rPr>
          <w:sz w:val="24"/>
        </w:rPr>
        <w:t xml:space="preserve">; Ação Penal </w:t>
      </w:r>
      <w:r w:rsidR="00CD79DA" w:rsidRPr="00CD79DA">
        <w:rPr>
          <w:sz w:val="24"/>
        </w:rPr>
        <w:t>0500623-71.2019.4.02.5101</w:t>
      </w:r>
      <w:r w:rsidR="00CD79DA">
        <w:rPr>
          <w:sz w:val="24"/>
        </w:rPr>
        <w:t>, SJRJ, CP, Art. 317</w:t>
      </w:r>
      <w:r w:rsidR="00564730" w:rsidRPr="00564730">
        <w:rPr>
          <w:sz w:val="24"/>
        </w:rPr>
        <w:t>.</w:t>
      </w:r>
      <w:proofErr w:type="gramStart"/>
      <w:r w:rsidR="00564730" w:rsidRPr="00564730">
        <w:rPr>
          <w:sz w:val="24"/>
        </w:rPr>
        <w:t>)</w:t>
      </w:r>
      <w:proofErr w:type="gramEnd"/>
    </w:p>
    <w:p w:rsidR="009605E2" w:rsidRPr="00731F40" w:rsidRDefault="009605E2" w:rsidP="00D70441">
      <w:pPr>
        <w:pStyle w:val="Pargrafo"/>
        <w:spacing w:line="360" w:lineRule="exact"/>
        <w:ind w:firstLine="709"/>
        <w:rPr>
          <w:rFonts w:cs="Arial"/>
          <w:b/>
          <w:sz w:val="24"/>
        </w:rPr>
      </w:pPr>
      <w:r w:rsidRPr="009605E2">
        <w:rPr>
          <w:b/>
          <w:sz w:val="24"/>
        </w:rPr>
        <w:t>III</w:t>
      </w:r>
    </w:p>
    <w:p w:rsidR="00BB4569" w:rsidRDefault="00BB4569" w:rsidP="00BB4569">
      <w:pPr>
        <w:pStyle w:val="Pargrafo"/>
        <w:spacing w:line="360" w:lineRule="exact"/>
        <w:ind w:firstLine="709"/>
        <w:rPr>
          <w:rFonts w:cs="Arial"/>
          <w:sz w:val="24"/>
        </w:rPr>
      </w:pPr>
      <w:r>
        <w:rPr>
          <w:rFonts w:cs="Arial"/>
          <w:sz w:val="24"/>
        </w:rPr>
        <w:t>Aquele que “[d</w:t>
      </w:r>
      <w:proofErr w:type="gramStart"/>
      <w:r>
        <w:rPr>
          <w:rFonts w:cs="Arial"/>
          <w:sz w:val="24"/>
        </w:rPr>
        <w:t>]</w:t>
      </w:r>
      <w:proofErr w:type="spellStart"/>
      <w:r w:rsidRPr="00BB4569">
        <w:rPr>
          <w:rFonts w:cs="Arial"/>
          <w:sz w:val="24"/>
        </w:rPr>
        <w:t>ifamar</w:t>
      </w:r>
      <w:proofErr w:type="spellEnd"/>
      <w:proofErr w:type="gramEnd"/>
      <w:r w:rsidRPr="00BB4569">
        <w:rPr>
          <w:rFonts w:cs="Arial"/>
          <w:sz w:val="24"/>
        </w:rPr>
        <w:t xml:space="preserve"> alguém, imputando-lhe fato ofensivo à sua reputação</w:t>
      </w:r>
      <w:r>
        <w:rPr>
          <w:rFonts w:cs="Arial"/>
          <w:sz w:val="24"/>
        </w:rPr>
        <w:t>”, fica sujeito às penas de “</w:t>
      </w:r>
      <w:r w:rsidRPr="00BB4569">
        <w:rPr>
          <w:rFonts w:cs="Arial"/>
          <w:sz w:val="24"/>
        </w:rPr>
        <w:t>detenção, de três meses a um ano, e multa.</w:t>
      </w:r>
      <w:r>
        <w:rPr>
          <w:rFonts w:cs="Arial"/>
          <w:sz w:val="24"/>
        </w:rPr>
        <w:t xml:space="preserve">” CP, Art. 139, </w:t>
      </w:r>
      <w:r w:rsidRPr="00BB4569">
        <w:rPr>
          <w:rFonts w:cs="Arial"/>
          <w:i/>
          <w:sz w:val="24"/>
        </w:rPr>
        <w:t>caput</w:t>
      </w:r>
      <w:r>
        <w:rPr>
          <w:rFonts w:cs="Arial"/>
          <w:sz w:val="24"/>
        </w:rPr>
        <w:t xml:space="preserve">. </w:t>
      </w:r>
      <w:r w:rsidRPr="0067702D">
        <w:rPr>
          <w:rFonts w:cs="Arial"/>
          <w:sz w:val="24"/>
        </w:rPr>
        <w:t>“</w:t>
      </w:r>
      <w:r w:rsidRPr="0067702D">
        <w:rPr>
          <w:rFonts w:cs="Arial"/>
          <w:color w:val="000000"/>
          <w:sz w:val="24"/>
          <w:shd w:val="clear" w:color="auto" w:fill="FFFFFF"/>
        </w:rPr>
        <w:t xml:space="preserve">A </w:t>
      </w:r>
      <w:r w:rsidRPr="0067702D">
        <w:rPr>
          <w:rFonts w:cs="Arial"/>
          <w:color w:val="000000"/>
          <w:sz w:val="24"/>
          <w:shd w:val="clear" w:color="auto" w:fill="FFFFFF"/>
        </w:rPr>
        <w:lastRenderedPageBreak/>
        <w:t>exceção da verdade somente se admite se o ofendido é funcionário público e a ofensa é relativa ao exercício de suas funções.</w:t>
      </w:r>
      <w:r w:rsidRPr="0067702D">
        <w:rPr>
          <w:rFonts w:cs="Arial"/>
          <w:sz w:val="24"/>
        </w:rPr>
        <w:t>”</w:t>
      </w:r>
      <w:r>
        <w:rPr>
          <w:rFonts w:cs="Arial"/>
          <w:sz w:val="24"/>
        </w:rPr>
        <w:t xml:space="preserve"> </w:t>
      </w:r>
      <w:r w:rsidRPr="0067702D">
        <w:rPr>
          <w:rFonts w:cs="Arial"/>
          <w:sz w:val="24"/>
        </w:rPr>
        <w:t>CP, Art. 139, Parágrafo único.</w:t>
      </w:r>
    </w:p>
    <w:p w:rsidR="00731F40" w:rsidRDefault="009605E2" w:rsidP="00D70441">
      <w:pPr>
        <w:pStyle w:val="Pargrafo"/>
        <w:spacing w:line="360" w:lineRule="exact"/>
        <w:ind w:firstLine="709"/>
        <w:rPr>
          <w:rFonts w:cs="Arial"/>
          <w:sz w:val="24"/>
        </w:rPr>
      </w:pPr>
      <w:r w:rsidRPr="00731F40">
        <w:rPr>
          <w:rFonts w:cs="Arial"/>
          <w:sz w:val="24"/>
        </w:rPr>
        <w:t xml:space="preserve">Na difamação, “[a] conduta é </w:t>
      </w:r>
      <w:r w:rsidRPr="00731F40">
        <w:rPr>
          <w:rFonts w:cs="Arial"/>
          <w:i/>
          <w:sz w:val="24"/>
        </w:rPr>
        <w:t>imputar</w:t>
      </w:r>
      <w:r w:rsidRPr="00731F40">
        <w:rPr>
          <w:rFonts w:cs="Arial"/>
          <w:sz w:val="24"/>
        </w:rPr>
        <w:t xml:space="preserve"> (atribuir). O </w:t>
      </w:r>
      <w:r w:rsidRPr="00731F40">
        <w:rPr>
          <w:rFonts w:cs="Arial"/>
          <w:i/>
          <w:sz w:val="24"/>
        </w:rPr>
        <w:t>fato</w:t>
      </w:r>
      <w:r w:rsidRPr="00731F40">
        <w:rPr>
          <w:rFonts w:cs="Arial"/>
          <w:sz w:val="24"/>
        </w:rPr>
        <w:t xml:space="preserve"> deve ser determinado, mas não precisa ser especificado em todas as suas circunstâncias. A imputação não necessita ser falsa, </w:t>
      </w:r>
      <w:r w:rsidRPr="00731F40">
        <w:rPr>
          <w:rFonts w:cs="Arial"/>
          <w:i/>
          <w:sz w:val="24"/>
        </w:rPr>
        <w:t>ainda</w:t>
      </w:r>
      <w:r w:rsidRPr="00731F40">
        <w:rPr>
          <w:rFonts w:cs="Arial"/>
          <w:sz w:val="24"/>
        </w:rPr>
        <w:t xml:space="preserve"> que verdadeira, haverá o delito (exceção: o fato verdadeiro, atribuído a funcionário públi</w:t>
      </w:r>
      <w:r w:rsidR="00731F40">
        <w:rPr>
          <w:rFonts w:cs="Arial"/>
          <w:sz w:val="24"/>
        </w:rPr>
        <w:t xml:space="preserve">co em razão de suas funções).” </w:t>
      </w:r>
      <w:r w:rsidRPr="00731F40">
        <w:rPr>
          <w:rFonts w:cs="Arial"/>
          <w:sz w:val="24"/>
        </w:rPr>
        <w:t>CELSO DELMANTO, ob. cit., p. 411</w:t>
      </w:r>
      <w:r w:rsidR="00731F40">
        <w:rPr>
          <w:rFonts w:cs="Arial"/>
          <w:sz w:val="24"/>
        </w:rPr>
        <w:t>. (G</w:t>
      </w:r>
      <w:r w:rsidRPr="00731F40">
        <w:rPr>
          <w:rFonts w:cs="Arial"/>
          <w:sz w:val="24"/>
        </w:rPr>
        <w:t>rifo original.</w:t>
      </w:r>
      <w:r w:rsidR="00731F40">
        <w:rPr>
          <w:rFonts w:cs="Arial"/>
          <w:sz w:val="24"/>
        </w:rPr>
        <w:t>)</w:t>
      </w:r>
      <w:r w:rsidRPr="00731F40">
        <w:rPr>
          <w:rFonts w:cs="Arial"/>
          <w:sz w:val="24"/>
        </w:rPr>
        <w:t xml:space="preserve"> </w:t>
      </w:r>
    </w:p>
    <w:p w:rsidR="00E869B9" w:rsidRDefault="00E869B9" w:rsidP="00E869B9">
      <w:pPr>
        <w:pStyle w:val="Pargrafo"/>
        <w:spacing w:line="360" w:lineRule="exact"/>
        <w:ind w:firstLine="709"/>
        <w:rPr>
          <w:rFonts w:cs="Arial"/>
          <w:sz w:val="24"/>
        </w:rPr>
      </w:pPr>
      <w:r w:rsidRPr="00E869B9">
        <w:rPr>
          <w:rFonts w:cs="Arial"/>
          <w:b/>
          <w:sz w:val="24"/>
        </w:rPr>
        <w:t>Na espécie</w:t>
      </w:r>
      <w:r>
        <w:rPr>
          <w:rFonts w:cs="Arial"/>
          <w:sz w:val="24"/>
        </w:rPr>
        <w:t xml:space="preserve">, o Juízo concluiu que, diante da circunstância de as afirmações tidas por criminosas terem sido objeto de acordo de colaboração </w:t>
      </w:r>
      <w:proofErr w:type="gramStart"/>
      <w:r>
        <w:rPr>
          <w:rFonts w:cs="Arial"/>
          <w:sz w:val="24"/>
        </w:rPr>
        <w:t>premiada firmado pelo querelado,</w:t>
      </w:r>
      <w:proofErr w:type="gramEnd"/>
      <w:r>
        <w:rPr>
          <w:rFonts w:cs="Arial"/>
          <w:sz w:val="24"/>
        </w:rPr>
        <w:t xml:space="preserve"> “</w:t>
      </w:r>
      <w:r w:rsidRPr="00E869B9">
        <w:rPr>
          <w:rFonts w:cs="Arial"/>
          <w:sz w:val="24"/>
        </w:rPr>
        <w:t>não há como identificar na conduta do</w:t>
      </w:r>
      <w:r>
        <w:rPr>
          <w:rFonts w:cs="Arial"/>
          <w:sz w:val="24"/>
        </w:rPr>
        <w:t xml:space="preserve"> </w:t>
      </w:r>
      <w:r w:rsidRPr="00E869B9">
        <w:rPr>
          <w:rFonts w:cs="Arial"/>
          <w:sz w:val="24"/>
        </w:rPr>
        <w:t xml:space="preserve">QUERELADO </w:t>
      </w:r>
      <w:r w:rsidRPr="00E869B9">
        <w:rPr>
          <w:rFonts w:cs="Arial"/>
          <w:i/>
          <w:sz w:val="24"/>
        </w:rPr>
        <w:t xml:space="preserve">animus </w:t>
      </w:r>
      <w:proofErr w:type="spellStart"/>
      <w:r w:rsidRPr="00E869B9">
        <w:rPr>
          <w:rFonts w:cs="Arial"/>
          <w:i/>
          <w:sz w:val="24"/>
        </w:rPr>
        <w:t>diffamandi</w:t>
      </w:r>
      <w:proofErr w:type="spellEnd"/>
      <w:r w:rsidRPr="00E869B9">
        <w:rPr>
          <w:rFonts w:cs="Arial"/>
          <w:sz w:val="24"/>
        </w:rPr>
        <w:t>, vale dizer, a vontade específica de macular a imagem</w:t>
      </w:r>
      <w:r>
        <w:rPr>
          <w:rFonts w:cs="Arial"/>
          <w:sz w:val="24"/>
        </w:rPr>
        <w:t xml:space="preserve"> </w:t>
      </w:r>
      <w:r w:rsidRPr="00E869B9">
        <w:rPr>
          <w:rFonts w:cs="Arial"/>
          <w:sz w:val="24"/>
        </w:rPr>
        <w:t>de alguém.</w:t>
      </w:r>
      <w:r>
        <w:rPr>
          <w:rFonts w:cs="Arial"/>
          <w:sz w:val="24"/>
        </w:rPr>
        <w:t xml:space="preserve">” </w:t>
      </w:r>
      <w:r w:rsidRPr="003406F8">
        <w:rPr>
          <w:sz w:val="24"/>
        </w:rPr>
        <w:t>(Excerto da Decisão recorrida.) (&lt;https://www.conjur.com.br/dl/rejeitada-queixa-temer-joesley.pdf&gt;. Acesso em: 09. Dez. 2020.) (Caixa alta original.</w:t>
      </w:r>
      <w:r>
        <w:rPr>
          <w:sz w:val="24"/>
        </w:rPr>
        <w:t xml:space="preserve"> Nota de rodapé suprimida.</w:t>
      </w:r>
      <w:r w:rsidRPr="003406F8">
        <w:rPr>
          <w:sz w:val="24"/>
        </w:rPr>
        <w:t>)</w:t>
      </w:r>
    </w:p>
    <w:p w:rsidR="009605E2" w:rsidRPr="00731F40" w:rsidRDefault="009605E2" w:rsidP="00D70441">
      <w:pPr>
        <w:pStyle w:val="Pargrafo"/>
        <w:spacing w:line="360" w:lineRule="exact"/>
        <w:ind w:firstLine="709"/>
        <w:rPr>
          <w:rFonts w:cs="Arial"/>
          <w:sz w:val="24"/>
        </w:rPr>
      </w:pPr>
      <w:r w:rsidRPr="00E869B9">
        <w:rPr>
          <w:rFonts w:cs="Arial"/>
          <w:b/>
          <w:sz w:val="24"/>
        </w:rPr>
        <w:t xml:space="preserve">Como </w:t>
      </w:r>
      <w:r w:rsidR="00731F40" w:rsidRPr="00E869B9">
        <w:rPr>
          <w:rFonts w:cs="Arial"/>
          <w:b/>
          <w:sz w:val="24"/>
        </w:rPr>
        <w:t>acima demonstrado</w:t>
      </w:r>
      <w:r w:rsidRPr="00731F40">
        <w:rPr>
          <w:rFonts w:cs="Arial"/>
          <w:sz w:val="24"/>
        </w:rPr>
        <w:t xml:space="preserve">, o </w:t>
      </w:r>
      <w:r w:rsidR="00731F40">
        <w:rPr>
          <w:rFonts w:cs="Arial"/>
          <w:sz w:val="24"/>
        </w:rPr>
        <w:t>q</w:t>
      </w:r>
      <w:r w:rsidRPr="00731F40">
        <w:rPr>
          <w:rFonts w:cs="Arial"/>
          <w:sz w:val="24"/>
        </w:rPr>
        <w:t xml:space="preserve">uerelado não imputou nenhuma conduta que, de </w:t>
      </w:r>
      <w:r w:rsidRPr="00731F40">
        <w:rPr>
          <w:rFonts w:cs="Arial"/>
          <w:i/>
          <w:sz w:val="24"/>
        </w:rPr>
        <w:t>per se</w:t>
      </w:r>
      <w:r w:rsidRPr="00731F40">
        <w:rPr>
          <w:rFonts w:cs="Arial"/>
          <w:sz w:val="24"/>
        </w:rPr>
        <w:t xml:space="preserve">, possa ser, </w:t>
      </w:r>
      <w:proofErr w:type="spellStart"/>
      <w:r w:rsidRPr="00731F40">
        <w:rPr>
          <w:rFonts w:cs="Arial"/>
          <w:i/>
          <w:sz w:val="24"/>
        </w:rPr>
        <w:t>ipso</w:t>
      </w:r>
      <w:proofErr w:type="spellEnd"/>
      <w:r w:rsidRPr="00731F40">
        <w:rPr>
          <w:rFonts w:cs="Arial"/>
          <w:i/>
          <w:sz w:val="24"/>
        </w:rPr>
        <w:t xml:space="preserve"> </w:t>
      </w:r>
      <w:proofErr w:type="spellStart"/>
      <w:r w:rsidRPr="00731F40">
        <w:rPr>
          <w:rFonts w:cs="Arial"/>
          <w:i/>
          <w:sz w:val="24"/>
        </w:rPr>
        <w:t>facto</w:t>
      </w:r>
      <w:proofErr w:type="spellEnd"/>
      <w:r w:rsidR="00731F40">
        <w:rPr>
          <w:rFonts w:cs="Arial"/>
          <w:sz w:val="24"/>
        </w:rPr>
        <w:t>, considerada difamatória, porquanto o querelante foi processado pelos crimes de organização criminosa e de obstrução da justiça</w:t>
      </w:r>
      <w:r w:rsidR="00731F40" w:rsidRPr="0067702D">
        <w:rPr>
          <w:rFonts w:cs="Arial"/>
          <w:sz w:val="24"/>
        </w:rPr>
        <w:t>.</w:t>
      </w:r>
      <w:r w:rsidR="0067702D" w:rsidRPr="0067702D">
        <w:rPr>
          <w:rFonts w:cs="Arial"/>
          <w:sz w:val="24"/>
        </w:rPr>
        <w:t xml:space="preserve"> Considerando que o querelante era presidente da República na época dos fatos, é admissível a exceção da verdade. CP, Art. 139, Parágrafo único. </w:t>
      </w:r>
    </w:p>
    <w:p w:rsidR="009605E2" w:rsidRPr="00731F40" w:rsidRDefault="009605E2" w:rsidP="00D70441">
      <w:pPr>
        <w:pStyle w:val="Pargrafo"/>
        <w:spacing w:line="360" w:lineRule="exact"/>
        <w:ind w:firstLine="709"/>
        <w:rPr>
          <w:rFonts w:eastAsia="Calibri" w:cs="Arial"/>
          <w:b/>
          <w:sz w:val="24"/>
        </w:rPr>
      </w:pPr>
      <w:r w:rsidRPr="00731F40">
        <w:rPr>
          <w:rFonts w:cs="Arial"/>
          <w:b/>
          <w:sz w:val="24"/>
        </w:rPr>
        <w:t>IV</w:t>
      </w:r>
    </w:p>
    <w:p w:rsidR="009605E2" w:rsidRDefault="00D70441" w:rsidP="00D70441">
      <w:pPr>
        <w:pStyle w:val="Pargrafo"/>
        <w:spacing w:line="360" w:lineRule="exact"/>
        <w:ind w:firstLine="709"/>
        <w:rPr>
          <w:rFonts w:cs="Arial"/>
          <w:sz w:val="24"/>
        </w:rPr>
      </w:pPr>
      <w:r w:rsidRPr="00731F40">
        <w:rPr>
          <w:rFonts w:eastAsia="Calibri" w:cs="Arial"/>
          <w:sz w:val="24"/>
        </w:rPr>
        <w:t xml:space="preserve">Por </w:t>
      </w:r>
      <w:r w:rsidRPr="00564730">
        <w:rPr>
          <w:rFonts w:eastAsia="Calibri" w:cs="Arial"/>
          <w:sz w:val="24"/>
        </w:rPr>
        <w:t xml:space="preserve">outro lado, </w:t>
      </w:r>
      <w:r w:rsidRPr="00564730">
        <w:rPr>
          <w:rFonts w:cs="Arial"/>
          <w:sz w:val="24"/>
        </w:rPr>
        <w:t xml:space="preserve">“a conduta [...], motivada pelo </w:t>
      </w:r>
      <w:r w:rsidRPr="00564730">
        <w:rPr>
          <w:rFonts w:cs="Arial"/>
          <w:i/>
          <w:sz w:val="24"/>
        </w:rPr>
        <w:t xml:space="preserve">animus </w:t>
      </w:r>
      <w:proofErr w:type="spellStart"/>
      <w:r w:rsidRPr="00564730">
        <w:rPr>
          <w:rFonts w:cs="Arial"/>
          <w:i/>
          <w:sz w:val="24"/>
        </w:rPr>
        <w:t>criticandi</w:t>
      </w:r>
      <w:proofErr w:type="spellEnd"/>
      <w:r w:rsidRPr="00564730">
        <w:rPr>
          <w:rFonts w:cs="Arial"/>
          <w:sz w:val="24"/>
        </w:rPr>
        <w:t xml:space="preserve">, não </w:t>
      </w:r>
      <w:r w:rsidRPr="003406F8">
        <w:rPr>
          <w:rFonts w:cs="Arial"/>
          <w:sz w:val="24"/>
        </w:rPr>
        <w:t xml:space="preserve">se subsume ao tipo previsto no art. 138, </w:t>
      </w:r>
      <w:r w:rsidRPr="003406F8">
        <w:rPr>
          <w:rFonts w:cs="Arial"/>
          <w:i/>
          <w:sz w:val="24"/>
        </w:rPr>
        <w:t>caput</w:t>
      </w:r>
      <w:r w:rsidRPr="003406F8">
        <w:rPr>
          <w:rFonts w:cs="Arial"/>
          <w:sz w:val="24"/>
        </w:rPr>
        <w:t xml:space="preserve">, do Código Penal, porquanto, nas afirmações genéricas veiculadas na reportagem, não ocorreu </w:t>
      </w:r>
      <w:proofErr w:type="gramStart"/>
      <w:r w:rsidRPr="003406F8">
        <w:rPr>
          <w:rFonts w:cs="Arial"/>
          <w:sz w:val="24"/>
        </w:rPr>
        <w:t>a</w:t>
      </w:r>
      <w:proofErr w:type="gramEnd"/>
      <w:r w:rsidRPr="003406F8">
        <w:rPr>
          <w:rFonts w:cs="Arial"/>
          <w:sz w:val="24"/>
        </w:rPr>
        <w:t xml:space="preserve"> atribuição, à vítima, de qualquer conduta tipificada como crime, de forma a configurar a atipicidade da conduta, a ensejar a absolvição sumária da ré, nos termos do art. 397, III, do CPP.  ‘</w:t>
      </w:r>
      <w:r w:rsidRPr="003406F8">
        <w:rPr>
          <w:rFonts w:cs="Arial"/>
          <w:b/>
          <w:sz w:val="24"/>
        </w:rPr>
        <w:t xml:space="preserve">No fato imputado precisam estar presentes todos os requisitos do delito, ou não se poderá falar em fato definido como crime e, </w:t>
      </w:r>
      <w:proofErr w:type="spellStart"/>
      <w:r w:rsidRPr="003406F8">
        <w:rPr>
          <w:rFonts w:cs="Arial"/>
          <w:b/>
          <w:sz w:val="24"/>
        </w:rPr>
        <w:t>conseqüentemente</w:t>
      </w:r>
      <w:proofErr w:type="spellEnd"/>
      <w:r w:rsidRPr="003406F8">
        <w:rPr>
          <w:rFonts w:cs="Arial"/>
          <w:b/>
          <w:sz w:val="24"/>
        </w:rPr>
        <w:t>, em calúnia</w:t>
      </w:r>
      <w:r w:rsidRPr="003406F8">
        <w:rPr>
          <w:rFonts w:cs="Arial"/>
          <w:sz w:val="24"/>
        </w:rPr>
        <w:t xml:space="preserve"> (STF, RHC 64.175, DJU 5.9.86, p. 15833; RTJ 79/856). </w:t>
      </w:r>
      <w:r w:rsidRPr="003406F8">
        <w:rPr>
          <w:rFonts w:cs="Arial"/>
          <w:b/>
          <w:sz w:val="24"/>
        </w:rPr>
        <w:t>Não basta a afirmação genérica, sendo necessária a imputação de fato que constitua crime com todas as circunstâncias da infração</w:t>
      </w:r>
      <w:r w:rsidRPr="003406F8">
        <w:rPr>
          <w:rFonts w:cs="Arial"/>
          <w:sz w:val="24"/>
        </w:rPr>
        <w:t xml:space="preserve"> (TJDF, RDJTJDF 43/257).’” (TRF 1ª Região, RSE 0019775-04.2008.4.01.3800/MG, Rel. Desembargadora Federal ASSUSETE MAGALHÃES, Terceira Turma, e-DJF1 p. 171 de 20/01/2012</w:t>
      </w:r>
      <w:r w:rsidR="00EB5D39">
        <w:rPr>
          <w:rFonts w:cs="Arial"/>
          <w:sz w:val="24"/>
        </w:rPr>
        <w:t>.) (Grifo acrescentado.)</w:t>
      </w:r>
      <w:r w:rsidRPr="003406F8">
        <w:rPr>
          <w:rFonts w:cs="Arial"/>
          <w:sz w:val="24"/>
        </w:rPr>
        <w:t xml:space="preserve"> “[P]ara a configuração do crime de calúnia é necessário que se impute falsamente a alguém a prática de fato, concreto e determinado, definido como crime. </w:t>
      </w:r>
      <w:r w:rsidRPr="003406F8">
        <w:rPr>
          <w:rFonts w:cs="Arial"/>
          <w:b/>
          <w:sz w:val="24"/>
        </w:rPr>
        <w:t>Narrações genéricas sobre possíveis condutas de alguém não se subsumem ao tipo penal.</w:t>
      </w:r>
      <w:r w:rsidRPr="003406F8">
        <w:rPr>
          <w:rFonts w:cs="Arial"/>
          <w:sz w:val="24"/>
        </w:rPr>
        <w:t xml:space="preserve"> ‘A completa ausência dos elementos constitutivos do delito de calúnia, por não haver imputação à querelante, no documento que deu origem à instauração do inquérito policial, de ocorrência definida como crime, restringindo-se apenas à requisição genérica de apuração dos fatos, desnatura o ato, tornando-o sem potencial ofensivo, com autorização, portanto, de rejeição da queixa – crime’ (STJ, APN </w:t>
      </w:r>
      <w:r w:rsidRPr="003406F8">
        <w:rPr>
          <w:rFonts w:cs="Arial"/>
          <w:sz w:val="24"/>
        </w:rPr>
        <w:lastRenderedPageBreak/>
        <w:t>199700886247, Rel. Min. Fernando Gonçalves, Corte Especial, unânime, DJU de 07/05/2001)”. (TRF 1ª Região, QCR 0040449-88.2007.4.01.0000/DF, Rel. Desembargadora Federal ASSUSETE MAGALHÃES, Corte Especial, e-DJF1 p. 121 de 18/10/2010</w:t>
      </w:r>
      <w:r w:rsidR="00EB5D39">
        <w:rPr>
          <w:rFonts w:cs="Arial"/>
          <w:sz w:val="24"/>
        </w:rPr>
        <w:t>.) (Grifo a</w:t>
      </w:r>
      <w:r w:rsidR="00EB5D39" w:rsidRPr="009605E2">
        <w:rPr>
          <w:rFonts w:cs="Arial"/>
          <w:sz w:val="24"/>
        </w:rPr>
        <w:t>crescentado.)</w:t>
      </w:r>
      <w:r w:rsidRPr="009605E2">
        <w:rPr>
          <w:rFonts w:cs="Arial"/>
          <w:sz w:val="24"/>
        </w:rPr>
        <w:t xml:space="preserve"> </w:t>
      </w:r>
      <w:r w:rsidR="009605E2" w:rsidRPr="009605E2">
        <w:rPr>
          <w:rFonts w:cs="Arial"/>
          <w:sz w:val="24"/>
        </w:rPr>
        <w:t>“Para que sejam configurados os delitos de difamação e injúria (</w:t>
      </w:r>
      <w:proofErr w:type="spellStart"/>
      <w:r w:rsidR="009605E2" w:rsidRPr="009605E2">
        <w:rPr>
          <w:rFonts w:cs="Arial"/>
          <w:sz w:val="24"/>
        </w:rPr>
        <w:t>arts</w:t>
      </w:r>
      <w:proofErr w:type="spellEnd"/>
      <w:r w:rsidR="009605E2" w:rsidRPr="009605E2">
        <w:rPr>
          <w:rFonts w:cs="Arial"/>
          <w:sz w:val="24"/>
        </w:rPr>
        <w:t xml:space="preserve">. 139 e 140 do Código Penal) é indispensável </w:t>
      </w:r>
      <w:proofErr w:type="gramStart"/>
      <w:r w:rsidR="009605E2" w:rsidRPr="009605E2">
        <w:rPr>
          <w:rFonts w:cs="Arial"/>
          <w:sz w:val="24"/>
        </w:rPr>
        <w:t>a</w:t>
      </w:r>
      <w:proofErr w:type="gramEnd"/>
      <w:r w:rsidR="009605E2" w:rsidRPr="009605E2">
        <w:rPr>
          <w:rFonts w:cs="Arial"/>
          <w:sz w:val="24"/>
        </w:rPr>
        <w:t xml:space="preserve"> presença do </w:t>
      </w:r>
      <w:r w:rsidR="009605E2" w:rsidRPr="009605E2">
        <w:rPr>
          <w:rFonts w:cs="Arial"/>
          <w:i/>
          <w:sz w:val="24"/>
        </w:rPr>
        <w:t xml:space="preserve">animus </w:t>
      </w:r>
      <w:proofErr w:type="spellStart"/>
      <w:r w:rsidR="009605E2" w:rsidRPr="009605E2">
        <w:rPr>
          <w:rFonts w:cs="Arial"/>
          <w:i/>
          <w:sz w:val="24"/>
        </w:rPr>
        <w:t>injuriandi</w:t>
      </w:r>
      <w:proofErr w:type="spellEnd"/>
      <w:r w:rsidR="009605E2" w:rsidRPr="009605E2">
        <w:rPr>
          <w:rFonts w:cs="Arial"/>
          <w:i/>
          <w:sz w:val="24"/>
        </w:rPr>
        <w:t xml:space="preserve"> </w:t>
      </w:r>
      <w:proofErr w:type="spellStart"/>
      <w:r w:rsidR="009605E2" w:rsidRPr="009605E2">
        <w:rPr>
          <w:rFonts w:cs="Arial"/>
          <w:i/>
          <w:sz w:val="24"/>
        </w:rPr>
        <w:t>vel</w:t>
      </w:r>
      <w:proofErr w:type="spellEnd"/>
      <w:r w:rsidR="009605E2" w:rsidRPr="009605E2">
        <w:rPr>
          <w:rFonts w:cs="Arial"/>
          <w:i/>
          <w:sz w:val="24"/>
        </w:rPr>
        <w:t xml:space="preserve"> </w:t>
      </w:r>
      <w:proofErr w:type="spellStart"/>
      <w:r w:rsidR="009605E2" w:rsidRPr="009605E2">
        <w:rPr>
          <w:rFonts w:cs="Arial"/>
          <w:i/>
          <w:sz w:val="24"/>
        </w:rPr>
        <w:t>diffamandi</w:t>
      </w:r>
      <w:proofErr w:type="spellEnd"/>
      <w:r w:rsidR="009605E2" w:rsidRPr="009605E2">
        <w:rPr>
          <w:rFonts w:cs="Arial"/>
          <w:sz w:val="24"/>
        </w:rPr>
        <w:t xml:space="preserve">. </w:t>
      </w:r>
      <w:r w:rsidR="009605E2" w:rsidRPr="009605E2">
        <w:rPr>
          <w:rFonts w:cs="Arial"/>
          <w:b/>
          <w:sz w:val="24"/>
        </w:rPr>
        <w:t xml:space="preserve">Não basta a presença do </w:t>
      </w:r>
      <w:r w:rsidR="009605E2" w:rsidRPr="009605E2">
        <w:rPr>
          <w:rFonts w:cs="Arial"/>
          <w:b/>
          <w:i/>
          <w:sz w:val="24"/>
        </w:rPr>
        <w:t xml:space="preserve">animus </w:t>
      </w:r>
      <w:proofErr w:type="spellStart"/>
      <w:r w:rsidR="009605E2" w:rsidRPr="009605E2">
        <w:rPr>
          <w:rFonts w:cs="Arial"/>
          <w:b/>
          <w:i/>
          <w:sz w:val="24"/>
        </w:rPr>
        <w:t>narrandi</w:t>
      </w:r>
      <w:proofErr w:type="spellEnd"/>
      <w:r w:rsidR="009605E2" w:rsidRPr="009605E2">
        <w:rPr>
          <w:rFonts w:cs="Arial"/>
          <w:sz w:val="24"/>
        </w:rPr>
        <w:t>.” (TRF 1ª Região, PET 65753-21.2009.4.01.0000/DF, Rel. Desembargadora Federal MARIA DO CARMO CARDOSO, Corte Especial, e-DJF1 p. 299 de 26/01/2011.) (Grifo acrescentado.)</w:t>
      </w:r>
    </w:p>
    <w:p w:rsidR="00D70441" w:rsidRPr="003406F8" w:rsidRDefault="00D70441" w:rsidP="00D70441">
      <w:pPr>
        <w:pStyle w:val="Pargrafo"/>
        <w:spacing w:line="360" w:lineRule="exact"/>
        <w:ind w:firstLine="709"/>
        <w:rPr>
          <w:rFonts w:cs="Arial"/>
          <w:sz w:val="24"/>
        </w:rPr>
      </w:pPr>
      <w:r w:rsidRPr="003406F8">
        <w:rPr>
          <w:rFonts w:cs="Arial"/>
          <w:sz w:val="24"/>
        </w:rPr>
        <w:t>“</w:t>
      </w:r>
      <w:r w:rsidRPr="003406F8">
        <w:rPr>
          <w:rFonts w:cs="Arial"/>
          <w:b/>
          <w:sz w:val="24"/>
        </w:rPr>
        <w:t xml:space="preserve">O crime de calúnia, na sua essência, pressupõe a imputação </w:t>
      </w:r>
      <w:proofErr w:type="gramStart"/>
      <w:r w:rsidRPr="003406F8">
        <w:rPr>
          <w:rFonts w:cs="Arial"/>
          <w:b/>
          <w:sz w:val="24"/>
        </w:rPr>
        <w:t>falsa de fato determinado</w:t>
      </w:r>
      <w:proofErr w:type="gramEnd"/>
      <w:r w:rsidRPr="003406F8">
        <w:rPr>
          <w:rFonts w:cs="Arial"/>
          <w:b/>
          <w:sz w:val="24"/>
        </w:rPr>
        <w:t xml:space="preserve"> como crime. As narrações contidas nos autos, contudo, são genéricas, o que inviabiliza a punição</w:t>
      </w:r>
      <w:r w:rsidRPr="003406F8">
        <w:rPr>
          <w:rFonts w:cs="Arial"/>
          <w:sz w:val="24"/>
        </w:rPr>
        <w:t xml:space="preserve"> pelo delito previsto no artigo 20, da Lei nº 5.250/67. [...] Meras críticas à conduta do homem público não configuram os delitos de injúria e de calúnia, na medida em que não houve excesso a ensejar a punição penal dos recorridos.” (TRF 3ª Região, ACR 00076315720004036181, Rel. Desembargadora Federal SUZANA CAMARGO, QUINTA TURMA, DJ 22/11/2005</w:t>
      </w:r>
      <w:r w:rsidR="00EB5D39">
        <w:rPr>
          <w:rFonts w:cs="Arial"/>
          <w:sz w:val="24"/>
        </w:rPr>
        <w:t>.) (Grifo acrescentado.)</w:t>
      </w:r>
      <w:r w:rsidRPr="003406F8">
        <w:rPr>
          <w:rFonts w:cs="Arial"/>
          <w:sz w:val="24"/>
        </w:rPr>
        <w:t xml:space="preserve"> Não se reconhece a prática de crime contra a honra de funcionário público na “[c]</w:t>
      </w:r>
      <w:proofErr w:type="spellStart"/>
      <w:r w:rsidRPr="003406F8">
        <w:rPr>
          <w:rFonts w:cs="Arial"/>
          <w:sz w:val="24"/>
        </w:rPr>
        <w:t>rítica</w:t>
      </w:r>
      <w:proofErr w:type="spellEnd"/>
      <w:r w:rsidRPr="003406F8">
        <w:rPr>
          <w:rFonts w:cs="Arial"/>
          <w:sz w:val="24"/>
        </w:rPr>
        <w:t xml:space="preserve"> áspera e candente”. (STF, HC 85797, Rel. Min. ELLEN GRACIE, Segunda Turma, julgado em 18/04/2006, DJ 12-05-2006 P. 28, LEXSTF v. 28, n. 330, 2006, p. 428-431 RT v. 95, n. 851, 2006, p. 460-462.) Ademais, “[a] intenção dolosa constitui elemento subjetivo, que, implícito no tipo penal, revela-se essencial à configuração jurídica dos crimes contra a honra. A jurisprudência dos Tribunais tem ressaltado que </w:t>
      </w:r>
      <w:r w:rsidRPr="003406F8">
        <w:rPr>
          <w:rFonts w:cs="Arial"/>
          <w:b/>
          <w:sz w:val="24"/>
        </w:rPr>
        <w:t>a necessidade de narrar ou de criticar atua como fator de descaracterização do tipo subjetivo peculiar aos crimes contra a honra, especialmente quando a manifestação considerada ofensiva decorre do regular exercício, pelo agente, de um direito que lhe assiste e de cuja prática não transparece o ‘</w:t>
      </w:r>
      <w:proofErr w:type="spellStart"/>
      <w:r w:rsidRPr="003406F8">
        <w:rPr>
          <w:rFonts w:cs="Arial"/>
          <w:b/>
          <w:sz w:val="24"/>
        </w:rPr>
        <w:t>pravus</w:t>
      </w:r>
      <w:proofErr w:type="spellEnd"/>
      <w:r w:rsidRPr="003406F8">
        <w:rPr>
          <w:rFonts w:cs="Arial"/>
          <w:b/>
          <w:sz w:val="24"/>
        </w:rPr>
        <w:t xml:space="preserve"> animus’, que constitui elemento essencial à configuração dos delitos de calúnia, difamação e/ou injúria</w:t>
      </w:r>
      <w:r w:rsidRPr="003406F8">
        <w:rPr>
          <w:rFonts w:cs="Arial"/>
          <w:sz w:val="24"/>
        </w:rPr>
        <w:t xml:space="preserve">.” (STF, RHC 81750, Rel. Min. CELSO DE MELLO, Segunda Turma, julgado em 12/11/2002, </w:t>
      </w:r>
      <w:proofErr w:type="spellStart"/>
      <w:proofErr w:type="gramStart"/>
      <w:r w:rsidRPr="003406F8">
        <w:rPr>
          <w:rFonts w:cs="Arial"/>
          <w:sz w:val="24"/>
        </w:rPr>
        <w:t>DJe</w:t>
      </w:r>
      <w:proofErr w:type="spellEnd"/>
      <w:proofErr w:type="gramEnd"/>
      <w:r w:rsidRPr="003406F8">
        <w:rPr>
          <w:rFonts w:cs="Arial"/>
          <w:sz w:val="24"/>
        </w:rPr>
        <w:t>-077 10-08-2007 DJ 10-08-2007 P. 64</w:t>
      </w:r>
      <w:r w:rsidR="00EB5D39">
        <w:rPr>
          <w:rFonts w:cs="Arial"/>
          <w:sz w:val="24"/>
        </w:rPr>
        <w:t>.) (Grifo acrescentado.)</w:t>
      </w:r>
    </w:p>
    <w:p w:rsidR="00F259D0" w:rsidRDefault="00D70441" w:rsidP="00D70441">
      <w:pPr>
        <w:pStyle w:val="centralizar"/>
        <w:spacing w:line="360" w:lineRule="exact"/>
        <w:ind w:firstLine="709"/>
        <w:jc w:val="both"/>
        <w:rPr>
          <w:rFonts w:cs="Arial"/>
          <w:b w:val="0"/>
          <w:sz w:val="24"/>
        </w:rPr>
      </w:pPr>
      <w:r w:rsidRPr="00EB5D39">
        <w:rPr>
          <w:rFonts w:cs="Arial"/>
          <w:b w:val="0"/>
          <w:sz w:val="24"/>
        </w:rPr>
        <w:t xml:space="preserve">Como registrado pela Suprema Corte dos Estados Unidos, no julgamento do caso </w:t>
      </w:r>
      <w:proofErr w:type="spellStart"/>
      <w:r w:rsidRPr="00EB5D39">
        <w:rPr>
          <w:rFonts w:cs="Arial"/>
          <w:b w:val="0"/>
          <w:i/>
          <w:sz w:val="24"/>
        </w:rPr>
        <w:t>New</w:t>
      </w:r>
      <w:proofErr w:type="spellEnd"/>
      <w:r w:rsidRPr="00EB5D39">
        <w:rPr>
          <w:rFonts w:cs="Arial"/>
          <w:b w:val="0"/>
          <w:i/>
          <w:sz w:val="24"/>
        </w:rPr>
        <w:t xml:space="preserve"> York Times Co</w:t>
      </w:r>
      <w:proofErr w:type="gramStart"/>
      <w:r w:rsidRPr="00EB5D39">
        <w:rPr>
          <w:rFonts w:cs="Arial"/>
          <w:b w:val="0"/>
          <w:i/>
          <w:sz w:val="24"/>
        </w:rPr>
        <w:t>.</w:t>
      </w:r>
      <w:r w:rsidRPr="00EB5D39">
        <w:rPr>
          <w:rFonts w:cs="Arial"/>
          <w:b w:val="0"/>
          <w:sz w:val="24"/>
        </w:rPr>
        <w:t>,</w:t>
      </w:r>
      <w:proofErr w:type="gramEnd"/>
      <w:r w:rsidRPr="00EB5D39">
        <w:rPr>
          <w:rFonts w:cs="Arial"/>
          <w:b w:val="0"/>
          <w:sz w:val="24"/>
        </w:rPr>
        <w:t xml:space="preserve"> “o debate de assuntos públicos deve ser sem inibições, robusto, amplo, e pode incluir ataques veementes, cáusticos e, algumas vezes, desagradáveis ao governo e às autoridades governamentais.” </w:t>
      </w:r>
      <w:r w:rsidR="00F259D0" w:rsidRPr="00F259D0">
        <w:rPr>
          <w:rFonts w:cs="Arial"/>
          <w:b w:val="0"/>
          <w:sz w:val="24"/>
        </w:rPr>
        <w:t>(STF, AI 505595/RJ, Rel</w:t>
      </w:r>
      <w:r w:rsidR="00F259D0">
        <w:rPr>
          <w:rFonts w:cs="Arial"/>
          <w:b w:val="0"/>
          <w:sz w:val="24"/>
        </w:rPr>
        <w:t>.</w:t>
      </w:r>
      <w:r w:rsidR="00F259D0" w:rsidRPr="00F259D0">
        <w:rPr>
          <w:rFonts w:cs="Arial"/>
          <w:b w:val="0"/>
          <w:sz w:val="24"/>
        </w:rPr>
        <w:t xml:space="preserve"> Min. CELSO DE MELLO, julgado em 11/11/2009, publicado em </w:t>
      </w:r>
      <w:proofErr w:type="spellStart"/>
      <w:r w:rsidR="00F259D0" w:rsidRPr="00F259D0">
        <w:rPr>
          <w:rFonts w:cs="Arial"/>
          <w:b w:val="0"/>
          <w:sz w:val="24"/>
        </w:rPr>
        <w:t>DJe</w:t>
      </w:r>
      <w:proofErr w:type="spellEnd"/>
      <w:r w:rsidR="00F259D0" w:rsidRPr="00F259D0">
        <w:rPr>
          <w:rFonts w:cs="Arial"/>
          <w:b w:val="0"/>
          <w:sz w:val="24"/>
        </w:rPr>
        <w:t>-219 23/11/2009.)</w:t>
      </w:r>
      <w:r w:rsidRPr="00EB5D39">
        <w:rPr>
          <w:rFonts w:cs="Arial"/>
          <w:b w:val="0"/>
          <w:sz w:val="24"/>
        </w:rPr>
        <w:t xml:space="preserve"> Não é diversa, no ponto, a orientação da doutrina e jurisprudência nacionais citadas no acima referido AI 505595/RJ. Dessa forma, “opiniões em tom de crítica severa, dura ou, até, impiedosa, ainda mais se a pessoa a quem tais observações forem dirigidas ostentar a condição de figura pública, investida, ou não, de autoridade governamental, pois, em tal contexto, a liberdade de crítica qualifica-se como </w:t>
      </w:r>
      <w:proofErr w:type="gramStart"/>
      <w:r w:rsidRPr="00EB5D39">
        <w:rPr>
          <w:rFonts w:cs="Arial"/>
          <w:b w:val="0"/>
          <w:sz w:val="24"/>
        </w:rPr>
        <w:t>verdadeira excludente anímica, apta</w:t>
      </w:r>
      <w:proofErr w:type="gramEnd"/>
      <w:r w:rsidRPr="00EB5D39">
        <w:rPr>
          <w:rFonts w:cs="Arial"/>
          <w:b w:val="0"/>
          <w:sz w:val="24"/>
        </w:rPr>
        <w:t xml:space="preserve"> a afastar o </w:t>
      </w:r>
      <w:r w:rsidRPr="00EB5D39">
        <w:rPr>
          <w:rFonts w:cs="Arial"/>
          <w:b w:val="0"/>
          <w:sz w:val="24"/>
        </w:rPr>
        <w:lastRenderedPageBreak/>
        <w:t xml:space="preserve">intuito doloso de ofender.” Em idêntica direção, “a exposição de fatos e a veiculação de conceitos, utilizadas como elementos </w:t>
      </w:r>
      <w:proofErr w:type="spellStart"/>
      <w:r w:rsidRPr="00EB5D39">
        <w:rPr>
          <w:rFonts w:cs="Arial"/>
          <w:b w:val="0"/>
          <w:sz w:val="24"/>
        </w:rPr>
        <w:t>materializadores</w:t>
      </w:r>
      <w:proofErr w:type="spellEnd"/>
      <w:r w:rsidRPr="00EB5D39">
        <w:rPr>
          <w:rFonts w:cs="Arial"/>
          <w:b w:val="0"/>
          <w:sz w:val="24"/>
        </w:rPr>
        <w:t xml:space="preserve"> da prática concreta do direito de crítica, descaracterizam o ‘animus </w:t>
      </w:r>
      <w:proofErr w:type="spellStart"/>
      <w:r w:rsidRPr="00EB5D39">
        <w:rPr>
          <w:rFonts w:cs="Arial"/>
          <w:b w:val="0"/>
          <w:sz w:val="24"/>
        </w:rPr>
        <w:t>injuriandi</w:t>
      </w:r>
      <w:proofErr w:type="spellEnd"/>
      <w:r w:rsidRPr="00EB5D39">
        <w:rPr>
          <w:rFonts w:cs="Arial"/>
          <w:b w:val="0"/>
          <w:sz w:val="24"/>
        </w:rPr>
        <w:t xml:space="preserve"> </w:t>
      </w:r>
      <w:proofErr w:type="spellStart"/>
      <w:r w:rsidRPr="00EB5D39">
        <w:rPr>
          <w:rFonts w:cs="Arial"/>
          <w:b w:val="0"/>
          <w:sz w:val="24"/>
        </w:rPr>
        <w:t>vel</w:t>
      </w:r>
      <w:proofErr w:type="spellEnd"/>
      <w:r w:rsidRPr="00EB5D39">
        <w:rPr>
          <w:rFonts w:cs="Arial"/>
          <w:b w:val="0"/>
          <w:sz w:val="24"/>
        </w:rPr>
        <w:t xml:space="preserve"> </w:t>
      </w:r>
      <w:proofErr w:type="spellStart"/>
      <w:r w:rsidRPr="00EB5D39">
        <w:rPr>
          <w:rFonts w:cs="Arial"/>
          <w:b w:val="0"/>
          <w:sz w:val="24"/>
        </w:rPr>
        <w:t>diffamandi</w:t>
      </w:r>
      <w:proofErr w:type="spellEnd"/>
      <w:r w:rsidRPr="00EB5D39">
        <w:rPr>
          <w:rFonts w:cs="Arial"/>
          <w:b w:val="0"/>
          <w:sz w:val="24"/>
        </w:rPr>
        <w:t xml:space="preserve">’, legitimando, assim, em plenitude, o exercício dessa particular expressão da liberdade de imprensa.” </w:t>
      </w:r>
      <w:r w:rsidR="00F259D0" w:rsidRPr="00F259D0">
        <w:rPr>
          <w:rFonts w:cs="Arial"/>
          <w:b w:val="0"/>
          <w:sz w:val="24"/>
        </w:rPr>
        <w:t xml:space="preserve">(STF, AI 505595/RJ, </w:t>
      </w:r>
      <w:r w:rsidR="00F259D0">
        <w:rPr>
          <w:rFonts w:cs="Arial"/>
          <w:b w:val="0"/>
          <w:sz w:val="24"/>
        </w:rPr>
        <w:t>supra</w:t>
      </w:r>
      <w:r w:rsidR="00F259D0" w:rsidRPr="00F259D0">
        <w:rPr>
          <w:rFonts w:cs="Arial"/>
          <w:b w:val="0"/>
          <w:sz w:val="24"/>
        </w:rPr>
        <w:t>.)</w:t>
      </w:r>
      <w:r w:rsidRPr="00EB5D39">
        <w:rPr>
          <w:rFonts w:cs="Arial"/>
          <w:b w:val="0"/>
          <w:sz w:val="24"/>
        </w:rPr>
        <w:t xml:space="preserve"> </w:t>
      </w:r>
    </w:p>
    <w:p w:rsidR="009605E2" w:rsidRDefault="00D70441" w:rsidP="00D70441">
      <w:pPr>
        <w:pStyle w:val="centralizar"/>
        <w:spacing w:line="360" w:lineRule="exact"/>
        <w:ind w:firstLine="709"/>
        <w:jc w:val="both"/>
        <w:rPr>
          <w:rFonts w:cs="Arial"/>
          <w:b w:val="0"/>
          <w:sz w:val="24"/>
        </w:rPr>
      </w:pPr>
      <w:r w:rsidRPr="00EB5D39">
        <w:rPr>
          <w:rFonts w:cs="Arial"/>
          <w:b w:val="0"/>
          <w:sz w:val="24"/>
        </w:rPr>
        <w:t>Assim, por exemplo, em se tratando de “[c</w:t>
      </w:r>
      <w:proofErr w:type="gramStart"/>
      <w:r w:rsidRPr="00EB5D39">
        <w:rPr>
          <w:rFonts w:cs="Arial"/>
          <w:b w:val="0"/>
          <w:sz w:val="24"/>
        </w:rPr>
        <w:t>]</w:t>
      </w:r>
      <w:proofErr w:type="spellStart"/>
      <w:r w:rsidRPr="00EB5D39">
        <w:rPr>
          <w:rFonts w:cs="Arial"/>
          <w:b w:val="0"/>
          <w:sz w:val="24"/>
        </w:rPr>
        <w:t>rítica</w:t>
      </w:r>
      <w:proofErr w:type="spellEnd"/>
      <w:proofErr w:type="gramEnd"/>
      <w:r w:rsidRPr="00EB5D39">
        <w:rPr>
          <w:rFonts w:cs="Arial"/>
          <w:b w:val="0"/>
          <w:sz w:val="24"/>
        </w:rPr>
        <w:t xml:space="preserve"> a juiz: Não configura [o crime de injúria] a crítica, mesmo veemente, de ter praticado ilegalidades, erros e falhas (</w:t>
      </w:r>
      <w:proofErr w:type="spellStart"/>
      <w:r w:rsidRPr="00EB5D39">
        <w:rPr>
          <w:rFonts w:cs="Arial"/>
          <w:b w:val="0"/>
          <w:sz w:val="24"/>
        </w:rPr>
        <w:t>TACrSP</w:t>
      </w:r>
      <w:proofErr w:type="spellEnd"/>
      <w:r w:rsidRPr="00EB5D39">
        <w:rPr>
          <w:rFonts w:cs="Arial"/>
          <w:b w:val="0"/>
          <w:sz w:val="24"/>
        </w:rPr>
        <w:t xml:space="preserve">, </w:t>
      </w:r>
      <w:r w:rsidRPr="00EB5D39">
        <w:rPr>
          <w:rFonts w:cs="Arial"/>
          <w:b w:val="0"/>
          <w:i/>
          <w:sz w:val="24"/>
        </w:rPr>
        <w:t>Julgados</w:t>
      </w:r>
      <w:r w:rsidRPr="00EB5D39">
        <w:rPr>
          <w:rFonts w:cs="Arial"/>
          <w:b w:val="0"/>
          <w:sz w:val="24"/>
        </w:rPr>
        <w:t xml:space="preserve"> 91/402).” (CELSO DELMANTO, ob. cit., p. 415.) Igualmente, “[c]</w:t>
      </w:r>
      <w:proofErr w:type="spellStart"/>
      <w:r w:rsidRPr="00EB5D39">
        <w:rPr>
          <w:rFonts w:cs="Arial"/>
          <w:b w:val="0"/>
          <w:sz w:val="24"/>
        </w:rPr>
        <w:t>omentários</w:t>
      </w:r>
      <w:proofErr w:type="spellEnd"/>
      <w:r w:rsidRPr="00EB5D39">
        <w:rPr>
          <w:rFonts w:cs="Arial"/>
          <w:b w:val="0"/>
          <w:sz w:val="24"/>
        </w:rPr>
        <w:t xml:space="preserve"> críticos, limitados ao </w:t>
      </w:r>
      <w:r w:rsidRPr="00EB5D39">
        <w:rPr>
          <w:rFonts w:cs="Arial"/>
          <w:b w:val="0"/>
          <w:i/>
          <w:sz w:val="24"/>
        </w:rPr>
        <w:t xml:space="preserve">animus </w:t>
      </w:r>
      <w:proofErr w:type="spellStart"/>
      <w:r w:rsidRPr="00EB5D39">
        <w:rPr>
          <w:rFonts w:cs="Arial"/>
          <w:b w:val="0"/>
          <w:i/>
          <w:sz w:val="24"/>
        </w:rPr>
        <w:t>narrandi</w:t>
      </w:r>
      <w:proofErr w:type="spellEnd"/>
      <w:r w:rsidRPr="00EB5D39">
        <w:rPr>
          <w:rFonts w:cs="Arial"/>
          <w:b w:val="0"/>
          <w:sz w:val="24"/>
        </w:rPr>
        <w:t xml:space="preserve">, feitos pelo réu no bojo da representação apresentada contra magistrado, não podem ser considerados ofensivos (TRF da 2ª R., </w:t>
      </w:r>
      <w:r w:rsidRPr="00EB5D39">
        <w:rPr>
          <w:rFonts w:cs="Arial"/>
          <w:b w:val="0"/>
          <w:i/>
          <w:sz w:val="24"/>
        </w:rPr>
        <w:t xml:space="preserve"> RT</w:t>
      </w:r>
      <w:r w:rsidRPr="00EB5D39">
        <w:rPr>
          <w:rFonts w:cs="Arial"/>
          <w:b w:val="0"/>
          <w:sz w:val="24"/>
        </w:rPr>
        <w:t xml:space="preserve"> 785/722).” (</w:t>
      </w:r>
      <w:r w:rsidRPr="00EB5D39">
        <w:rPr>
          <w:rFonts w:cs="Arial"/>
          <w:b w:val="0"/>
          <w:i/>
          <w:sz w:val="24"/>
        </w:rPr>
        <w:t>Ibidem</w:t>
      </w:r>
      <w:r w:rsidRPr="00EB5D39">
        <w:rPr>
          <w:rFonts w:cs="Arial"/>
          <w:b w:val="0"/>
          <w:sz w:val="24"/>
        </w:rPr>
        <w:t xml:space="preserve">.) “Nos crimes contra a honra, além do dolo, deve estar presente um especial fim de agir, consubstanciado no </w:t>
      </w:r>
      <w:r w:rsidRPr="00EB5D39">
        <w:rPr>
          <w:rFonts w:cs="Arial"/>
          <w:b w:val="0"/>
          <w:i/>
          <w:sz w:val="24"/>
        </w:rPr>
        <w:t xml:space="preserve">animus </w:t>
      </w:r>
      <w:proofErr w:type="spellStart"/>
      <w:r w:rsidRPr="00EB5D39">
        <w:rPr>
          <w:rFonts w:cs="Arial"/>
          <w:b w:val="0"/>
          <w:i/>
          <w:sz w:val="24"/>
        </w:rPr>
        <w:t>injuriandi</w:t>
      </w:r>
      <w:proofErr w:type="spellEnd"/>
      <w:r w:rsidRPr="00EB5D39">
        <w:rPr>
          <w:rFonts w:cs="Arial"/>
          <w:b w:val="0"/>
          <w:i/>
          <w:sz w:val="24"/>
        </w:rPr>
        <w:t xml:space="preserve"> </w:t>
      </w:r>
      <w:proofErr w:type="spellStart"/>
      <w:r w:rsidRPr="00EB5D39">
        <w:rPr>
          <w:rFonts w:cs="Arial"/>
          <w:b w:val="0"/>
          <w:i/>
          <w:sz w:val="24"/>
        </w:rPr>
        <w:t>vel</w:t>
      </w:r>
      <w:proofErr w:type="spellEnd"/>
      <w:r w:rsidRPr="00EB5D39">
        <w:rPr>
          <w:rFonts w:cs="Arial"/>
          <w:b w:val="0"/>
          <w:i/>
          <w:sz w:val="24"/>
        </w:rPr>
        <w:t xml:space="preserve"> </w:t>
      </w:r>
      <w:proofErr w:type="spellStart"/>
      <w:r w:rsidRPr="00EB5D39">
        <w:rPr>
          <w:rFonts w:cs="Arial"/>
          <w:b w:val="0"/>
          <w:i/>
          <w:sz w:val="24"/>
        </w:rPr>
        <w:t>diffamandi</w:t>
      </w:r>
      <w:proofErr w:type="spellEnd"/>
      <w:r w:rsidRPr="00EB5D39">
        <w:rPr>
          <w:rFonts w:cs="Arial"/>
          <w:b w:val="0"/>
          <w:sz w:val="24"/>
        </w:rPr>
        <w:t xml:space="preserve">, consistente no ânimo de denegrir, ofender a honra do indivíduo. </w:t>
      </w:r>
      <w:r w:rsidRPr="00EB5D39">
        <w:rPr>
          <w:rFonts w:cs="Arial"/>
          <w:sz w:val="24"/>
        </w:rPr>
        <w:t xml:space="preserve">Processar alguém que agiu com mero </w:t>
      </w:r>
      <w:r w:rsidRPr="00EB5D39">
        <w:rPr>
          <w:rFonts w:cs="Arial"/>
          <w:i/>
          <w:sz w:val="24"/>
        </w:rPr>
        <w:t xml:space="preserve">animus </w:t>
      </w:r>
      <w:proofErr w:type="spellStart"/>
      <w:r w:rsidRPr="00EB5D39">
        <w:rPr>
          <w:rFonts w:cs="Arial"/>
          <w:i/>
          <w:sz w:val="24"/>
        </w:rPr>
        <w:t>narrandi</w:t>
      </w:r>
      <w:proofErr w:type="spellEnd"/>
      <w:r w:rsidRPr="00EB5D39">
        <w:rPr>
          <w:rFonts w:cs="Arial"/>
          <w:sz w:val="24"/>
        </w:rPr>
        <w:t>, ou seja, com a intenção de narrar ou relatar um fato, inviabilizaria a persecução penal</w:t>
      </w:r>
      <w:r w:rsidRPr="00EB5D39">
        <w:rPr>
          <w:rFonts w:cs="Arial"/>
          <w:b w:val="0"/>
          <w:sz w:val="24"/>
        </w:rPr>
        <w:t xml:space="preserve">.” (STJ, HC 103344/AL, Rel. Ministro NAPOLEÃO NUNES MAIA FILHO, Quinta Turma, julgado em 14/05/2009, </w:t>
      </w:r>
      <w:proofErr w:type="spellStart"/>
      <w:r w:rsidRPr="00EB5D39">
        <w:rPr>
          <w:rFonts w:cs="Arial"/>
          <w:b w:val="0"/>
          <w:sz w:val="24"/>
        </w:rPr>
        <w:t>DJe</w:t>
      </w:r>
      <w:proofErr w:type="spellEnd"/>
      <w:r w:rsidRPr="00EB5D39">
        <w:rPr>
          <w:rFonts w:cs="Arial"/>
          <w:b w:val="0"/>
          <w:sz w:val="24"/>
        </w:rPr>
        <w:t xml:space="preserve"> 22/06/2009</w:t>
      </w:r>
      <w:r w:rsidR="00EB5D39" w:rsidRPr="00EB5D39">
        <w:rPr>
          <w:rFonts w:cs="Arial"/>
          <w:b w:val="0"/>
          <w:sz w:val="24"/>
        </w:rPr>
        <w:t>.) (Grifo acrescentado.)</w:t>
      </w:r>
      <w:r w:rsidRPr="00EB5D39">
        <w:rPr>
          <w:rFonts w:cs="Arial"/>
          <w:b w:val="0"/>
          <w:sz w:val="24"/>
        </w:rPr>
        <w:t xml:space="preserve"> “Os delitos contra a honra reclamam, para a configuração penal, o elemento subjetivo consistente no dolo de ofender na modalidade de ‘dolo específico’, cognominado ‘animus </w:t>
      </w:r>
      <w:proofErr w:type="spellStart"/>
      <w:r w:rsidRPr="00EB5D39">
        <w:rPr>
          <w:rFonts w:cs="Arial"/>
          <w:b w:val="0"/>
          <w:sz w:val="24"/>
        </w:rPr>
        <w:t>injuriandi</w:t>
      </w:r>
      <w:proofErr w:type="spellEnd"/>
      <w:r w:rsidRPr="00EB5D39">
        <w:rPr>
          <w:rFonts w:cs="Arial"/>
          <w:b w:val="0"/>
          <w:sz w:val="24"/>
        </w:rPr>
        <w:t xml:space="preserve">’, consoante cediço em sede doutrinária e na jurisprudência do Supremo Tribunal Federal e deste Superior Tribunal de Justiça. A doutrina pátria leciona que: ‘O dolo na injúria, ou seja, a vontade de praticar a conduta, deve vir informado no elemento subjetivo do tipo, ou seja, do </w:t>
      </w:r>
      <w:r w:rsidRPr="00EB5D39">
        <w:rPr>
          <w:rFonts w:cs="Arial"/>
          <w:b w:val="0"/>
          <w:i/>
          <w:sz w:val="24"/>
        </w:rPr>
        <w:t xml:space="preserve">animus </w:t>
      </w:r>
      <w:proofErr w:type="spellStart"/>
      <w:r w:rsidRPr="00EB5D39">
        <w:rPr>
          <w:rFonts w:cs="Arial"/>
          <w:b w:val="0"/>
          <w:i/>
          <w:sz w:val="24"/>
        </w:rPr>
        <w:t>infamandi</w:t>
      </w:r>
      <w:proofErr w:type="spellEnd"/>
      <w:r w:rsidRPr="00EB5D39">
        <w:rPr>
          <w:rFonts w:cs="Arial"/>
          <w:b w:val="0"/>
          <w:sz w:val="24"/>
        </w:rPr>
        <w:t xml:space="preserve"> ou </w:t>
      </w:r>
      <w:proofErr w:type="spellStart"/>
      <w:r w:rsidRPr="00EB5D39">
        <w:rPr>
          <w:rFonts w:cs="Arial"/>
          <w:b w:val="0"/>
          <w:i/>
          <w:sz w:val="24"/>
        </w:rPr>
        <w:t>injuriandi</w:t>
      </w:r>
      <w:proofErr w:type="spellEnd"/>
      <w:r w:rsidRPr="00EB5D39">
        <w:rPr>
          <w:rFonts w:cs="Arial"/>
          <w:b w:val="0"/>
          <w:sz w:val="24"/>
        </w:rPr>
        <w:t xml:space="preserve">, conhecido pelos clássicos como dolo específico. Inexiste ela nos demais </w:t>
      </w:r>
      <w:proofErr w:type="spellStart"/>
      <w:r w:rsidRPr="00EB5D39">
        <w:rPr>
          <w:rFonts w:cs="Arial"/>
          <w:b w:val="0"/>
          <w:i/>
          <w:sz w:val="24"/>
        </w:rPr>
        <w:t>animii</w:t>
      </w:r>
      <w:proofErr w:type="spellEnd"/>
      <w:r w:rsidRPr="00EB5D39">
        <w:rPr>
          <w:rFonts w:cs="Arial"/>
          <w:b w:val="0"/>
          <w:sz w:val="24"/>
        </w:rPr>
        <w:t xml:space="preserve"> (</w:t>
      </w:r>
      <w:proofErr w:type="spellStart"/>
      <w:r w:rsidRPr="00EB5D39">
        <w:rPr>
          <w:rFonts w:cs="Arial"/>
          <w:b w:val="0"/>
          <w:i/>
          <w:sz w:val="24"/>
        </w:rPr>
        <w:t>jocandi</w:t>
      </w:r>
      <w:proofErr w:type="spellEnd"/>
      <w:r w:rsidRPr="00EB5D39">
        <w:rPr>
          <w:rFonts w:cs="Arial"/>
          <w:b w:val="0"/>
          <w:i/>
          <w:sz w:val="24"/>
        </w:rPr>
        <w:t xml:space="preserve">, </w:t>
      </w:r>
      <w:proofErr w:type="spellStart"/>
      <w:r w:rsidRPr="00EB5D39">
        <w:rPr>
          <w:rFonts w:cs="Arial"/>
          <w:b w:val="0"/>
          <w:i/>
          <w:sz w:val="24"/>
        </w:rPr>
        <w:t>criticandi</w:t>
      </w:r>
      <w:proofErr w:type="spellEnd"/>
      <w:r w:rsidRPr="00EB5D39">
        <w:rPr>
          <w:rFonts w:cs="Arial"/>
          <w:b w:val="0"/>
          <w:i/>
          <w:sz w:val="24"/>
        </w:rPr>
        <w:t xml:space="preserve">, </w:t>
      </w:r>
      <w:proofErr w:type="spellStart"/>
      <w:r w:rsidRPr="00EB5D39">
        <w:rPr>
          <w:rFonts w:cs="Arial"/>
          <w:b w:val="0"/>
          <w:i/>
          <w:sz w:val="24"/>
        </w:rPr>
        <w:t>narrandi</w:t>
      </w:r>
      <w:proofErr w:type="spellEnd"/>
      <w:r w:rsidRPr="00EB5D39">
        <w:rPr>
          <w:rFonts w:cs="Arial"/>
          <w:b w:val="0"/>
          <w:sz w:val="24"/>
        </w:rPr>
        <w:t xml:space="preserve"> etc.) (itens 138.3 e 139.3). Tem-se decidido pela inexistência do elemento subjetivo nas expressões proferidas no calor de uma discussão, no depoimento como testemunha etc.’ (MIRABETE, Julio </w:t>
      </w:r>
      <w:proofErr w:type="spellStart"/>
      <w:r w:rsidRPr="00EB5D39">
        <w:rPr>
          <w:rFonts w:cs="Arial"/>
          <w:b w:val="0"/>
          <w:sz w:val="24"/>
        </w:rPr>
        <w:t>Fabrini</w:t>
      </w:r>
      <w:proofErr w:type="spellEnd"/>
      <w:r w:rsidRPr="00EB5D39">
        <w:rPr>
          <w:rFonts w:cs="Arial"/>
          <w:b w:val="0"/>
          <w:sz w:val="24"/>
        </w:rPr>
        <w:t xml:space="preserve">, Código Penal Interpretado, 6ª Ed, São Paulo: Editora Atlas, 2007, p. 1.123) [...] No mesmo sentido, FRAGOSO, Heleno Cláudio: ‘o propósito de ofender integra o conteúdo de fato dos crimes contra a honra. Trata-se do chamado ‘dolo específico’, que é elemento subjetivo do tipo inerente à ação de ofender. Em </w:t>
      </w:r>
      <w:proofErr w:type="spellStart"/>
      <w:r w:rsidRPr="00EB5D39">
        <w:rPr>
          <w:rFonts w:cs="Arial"/>
          <w:b w:val="0"/>
          <w:sz w:val="24"/>
        </w:rPr>
        <w:t>conseqüência</w:t>
      </w:r>
      <w:proofErr w:type="spellEnd"/>
      <w:r w:rsidRPr="00EB5D39">
        <w:rPr>
          <w:rFonts w:cs="Arial"/>
          <w:b w:val="0"/>
          <w:sz w:val="24"/>
        </w:rPr>
        <w:t>, não se configura o crime se a expressão ofensiva for realizada sem o propósito de ofender. É o caso, por exemplo, da manifestação eventualmente ofensiva feita com o propósito de informar ou narrar um acontecimento (</w:t>
      </w:r>
      <w:r w:rsidRPr="00EB5D39">
        <w:rPr>
          <w:rFonts w:cs="Arial"/>
          <w:b w:val="0"/>
          <w:i/>
          <w:sz w:val="24"/>
        </w:rPr>
        <w:t xml:space="preserve">animus </w:t>
      </w:r>
      <w:proofErr w:type="spellStart"/>
      <w:r w:rsidRPr="00EB5D39">
        <w:rPr>
          <w:rFonts w:cs="Arial"/>
          <w:b w:val="0"/>
          <w:i/>
          <w:sz w:val="24"/>
        </w:rPr>
        <w:t>narrandi</w:t>
      </w:r>
      <w:proofErr w:type="spellEnd"/>
      <w:r w:rsidRPr="00EB5D39">
        <w:rPr>
          <w:rFonts w:cs="Arial"/>
          <w:b w:val="0"/>
          <w:sz w:val="24"/>
        </w:rPr>
        <w:t>), ou com o propósito de debater ou criticar (</w:t>
      </w:r>
      <w:r w:rsidRPr="00EB5D39">
        <w:rPr>
          <w:rFonts w:cs="Arial"/>
          <w:b w:val="0"/>
          <w:i/>
          <w:sz w:val="24"/>
        </w:rPr>
        <w:t xml:space="preserve">animus </w:t>
      </w:r>
      <w:proofErr w:type="spellStart"/>
      <w:r w:rsidRPr="00EB5D39">
        <w:rPr>
          <w:rFonts w:cs="Arial"/>
          <w:b w:val="0"/>
          <w:i/>
          <w:sz w:val="24"/>
        </w:rPr>
        <w:t>criticandi</w:t>
      </w:r>
      <w:proofErr w:type="spellEnd"/>
      <w:r w:rsidRPr="00EB5D39">
        <w:rPr>
          <w:rFonts w:cs="Arial"/>
          <w:b w:val="0"/>
          <w:sz w:val="24"/>
        </w:rPr>
        <w:t xml:space="preserve">), particularmente amplo em matéria </w:t>
      </w:r>
      <w:proofErr w:type="gramStart"/>
      <w:r w:rsidRPr="00EB5D39">
        <w:rPr>
          <w:rFonts w:cs="Arial"/>
          <w:b w:val="0"/>
          <w:sz w:val="24"/>
        </w:rPr>
        <w:t>política.</w:t>
      </w:r>
      <w:proofErr w:type="gramEnd"/>
      <w:r w:rsidRPr="00EB5D39">
        <w:rPr>
          <w:rFonts w:cs="Arial"/>
          <w:b w:val="0"/>
          <w:sz w:val="24"/>
        </w:rPr>
        <w:t xml:space="preserve">’ (Lições de Direito Penal – Parte Especial; 10ª ed., Rio de Janeiro: Forense, 1988, p. 221-222, </w:t>
      </w:r>
      <w:proofErr w:type="spellStart"/>
      <w:r w:rsidRPr="00EB5D39">
        <w:rPr>
          <w:rFonts w:cs="Arial"/>
          <w:b w:val="0"/>
          <w:sz w:val="24"/>
        </w:rPr>
        <w:t>v.I.</w:t>
      </w:r>
      <w:proofErr w:type="spellEnd"/>
      <w:r w:rsidRPr="00EB5D39">
        <w:rPr>
          <w:rFonts w:cs="Arial"/>
          <w:b w:val="0"/>
          <w:sz w:val="24"/>
        </w:rPr>
        <w:t xml:space="preserve">). NELSON HUNGRIA por seu turno, assim definia o dolo específico nos crimes contra a honra: ‘Pode-se, então, definir </w:t>
      </w:r>
      <w:r w:rsidRPr="00EB5D39">
        <w:rPr>
          <w:rFonts w:cs="Arial"/>
          <w:sz w:val="24"/>
        </w:rPr>
        <w:t>o dolo específico do crime contra a honra como sendo a consciência e a vontade de ofender a honra alheia (reputação, dignidade ou decoro), mediante a linguagem falada, mímica ou escrita</w:t>
      </w:r>
      <w:r w:rsidRPr="00EB5D39">
        <w:rPr>
          <w:rFonts w:cs="Arial"/>
          <w:b w:val="0"/>
          <w:sz w:val="24"/>
        </w:rPr>
        <w:t xml:space="preserve">. </w:t>
      </w:r>
      <w:r w:rsidR="00EB5D39">
        <w:rPr>
          <w:rFonts w:cs="Arial"/>
          <w:b w:val="0"/>
          <w:sz w:val="24"/>
        </w:rPr>
        <w:t>É</w:t>
      </w:r>
      <w:r w:rsidRPr="00EB5D39">
        <w:rPr>
          <w:rFonts w:cs="Arial"/>
          <w:b w:val="0"/>
          <w:sz w:val="24"/>
        </w:rPr>
        <w:t xml:space="preserve"> indispensável </w:t>
      </w:r>
      <w:proofErr w:type="gramStart"/>
      <w:r w:rsidRPr="00EB5D39">
        <w:rPr>
          <w:rFonts w:cs="Arial"/>
          <w:b w:val="0"/>
          <w:sz w:val="24"/>
        </w:rPr>
        <w:t>a</w:t>
      </w:r>
      <w:proofErr w:type="gramEnd"/>
      <w:r w:rsidRPr="00EB5D39">
        <w:rPr>
          <w:rFonts w:cs="Arial"/>
          <w:b w:val="0"/>
          <w:sz w:val="24"/>
        </w:rPr>
        <w:t xml:space="preserve"> vontade de injuriar ou difamar, a vontade referida ao </w:t>
      </w:r>
      <w:proofErr w:type="spellStart"/>
      <w:r w:rsidRPr="00EB5D39">
        <w:rPr>
          <w:rFonts w:cs="Arial"/>
          <w:b w:val="0"/>
          <w:i/>
          <w:sz w:val="24"/>
        </w:rPr>
        <w:t>eventus</w:t>
      </w:r>
      <w:proofErr w:type="spellEnd"/>
      <w:r w:rsidRPr="00EB5D39">
        <w:rPr>
          <w:rFonts w:cs="Arial"/>
          <w:b w:val="0"/>
          <w:i/>
          <w:sz w:val="24"/>
        </w:rPr>
        <w:t xml:space="preserve"> </w:t>
      </w:r>
      <w:proofErr w:type="spellStart"/>
      <w:r w:rsidRPr="00EB5D39">
        <w:rPr>
          <w:rFonts w:cs="Arial"/>
          <w:b w:val="0"/>
          <w:i/>
          <w:sz w:val="24"/>
        </w:rPr>
        <w:t>sceleris</w:t>
      </w:r>
      <w:proofErr w:type="spellEnd"/>
      <w:r w:rsidRPr="00EB5D39">
        <w:rPr>
          <w:rFonts w:cs="Arial"/>
          <w:b w:val="0"/>
          <w:sz w:val="24"/>
        </w:rPr>
        <w:t xml:space="preserve">, que é no caso, a ofensa à </w:t>
      </w:r>
      <w:r w:rsidRPr="00EB5D39">
        <w:rPr>
          <w:rFonts w:cs="Arial"/>
          <w:b w:val="0"/>
          <w:sz w:val="24"/>
        </w:rPr>
        <w:lastRenderedPageBreak/>
        <w:t xml:space="preserve">honra.’ (Comentários ao Código Penal, 5ª ed.: Rio de Janeiro, Forense, 1982, p. 53, volume VI, ).” (STJ, </w:t>
      </w:r>
      <w:proofErr w:type="spellStart"/>
      <w:r w:rsidRPr="00EB5D39">
        <w:rPr>
          <w:rFonts w:cs="Arial"/>
          <w:b w:val="0"/>
          <w:sz w:val="24"/>
        </w:rPr>
        <w:t>APn</w:t>
      </w:r>
      <w:proofErr w:type="spellEnd"/>
      <w:r w:rsidRPr="00EB5D39">
        <w:rPr>
          <w:rFonts w:cs="Arial"/>
          <w:b w:val="0"/>
          <w:sz w:val="24"/>
        </w:rPr>
        <w:t xml:space="preserve"> 555/DF, Rel. Ministro LUIZ FUX, Corte Especial, julgado em 01/04/2009, </w:t>
      </w:r>
      <w:proofErr w:type="spellStart"/>
      <w:r w:rsidRPr="00EB5D39">
        <w:rPr>
          <w:rFonts w:cs="Arial"/>
          <w:b w:val="0"/>
          <w:sz w:val="24"/>
        </w:rPr>
        <w:t>DJe</w:t>
      </w:r>
      <w:proofErr w:type="spellEnd"/>
      <w:r w:rsidRPr="00EB5D39">
        <w:rPr>
          <w:rFonts w:cs="Arial"/>
          <w:b w:val="0"/>
          <w:sz w:val="24"/>
        </w:rPr>
        <w:t xml:space="preserve"> 14/05/2009</w:t>
      </w:r>
      <w:r w:rsidR="00EB5D39" w:rsidRPr="00EB5D39">
        <w:rPr>
          <w:rFonts w:cs="Arial"/>
          <w:b w:val="0"/>
          <w:sz w:val="24"/>
        </w:rPr>
        <w:t>.) (Grifo acrescentado.)</w:t>
      </w:r>
      <w:r w:rsidRPr="00EB5D39">
        <w:rPr>
          <w:rFonts w:cs="Arial"/>
          <w:b w:val="0"/>
          <w:sz w:val="24"/>
        </w:rPr>
        <w:t xml:space="preserve"> “Observações críticas, ainda que irritantes, nos limites da divulgação da situação fática, não configuram, de per si, crime de imprensa (art. 27, inciso VIII da Lei de Imprensa). Não se pode alçar à condição de ilícito penal aquilo que somente é desejado pela especial susceptibilidade da pessoa atingida e nem se deve confundir ofensa à honra, que exige dolo e propósito de ofender, com crítica jornalística objetiva, limitada ao </w:t>
      </w:r>
      <w:r w:rsidRPr="00EB5D39">
        <w:rPr>
          <w:rFonts w:cs="Arial"/>
          <w:b w:val="0"/>
          <w:i/>
          <w:sz w:val="24"/>
        </w:rPr>
        <w:t xml:space="preserve">animus </w:t>
      </w:r>
      <w:proofErr w:type="spellStart"/>
      <w:r w:rsidRPr="00EB5D39">
        <w:rPr>
          <w:rFonts w:cs="Arial"/>
          <w:b w:val="0"/>
          <w:i/>
          <w:sz w:val="24"/>
        </w:rPr>
        <w:t>criticandi</w:t>
      </w:r>
      <w:proofErr w:type="spellEnd"/>
      <w:r w:rsidRPr="00EB5D39">
        <w:rPr>
          <w:rFonts w:cs="Arial"/>
          <w:b w:val="0"/>
          <w:sz w:val="24"/>
        </w:rPr>
        <w:t xml:space="preserve"> ou ao animus </w:t>
      </w:r>
      <w:proofErr w:type="spellStart"/>
      <w:r w:rsidRPr="00EB5D39">
        <w:rPr>
          <w:rFonts w:cs="Arial"/>
          <w:b w:val="0"/>
          <w:i/>
          <w:sz w:val="24"/>
        </w:rPr>
        <w:t>narrandi</w:t>
      </w:r>
      <w:proofErr w:type="spellEnd"/>
      <w:r w:rsidRPr="00EB5D39">
        <w:rPr>
          <w:rFonts w:cs="Arial"/>
          <w:b w:val="0"/>
          <w:sz w:val="24"/>
        </w:rPr>
        <w:t xml:space="preserve">, tudo isto, </w:t>
      </w:r>
      <w:proofErr w:type="gramStart"/>
      <w:r w:rsidRPr="00EB5D39">
        <w:rPr>
          <w:rFonts w:cs="Arial"/>
          <w:b w:val="0"/>
          <w:sz w:val="24"/>
        </w:rPr>
        <w:t>sob pena</w:t>
      </w:r>
      <w:proofErr w:type="gramEnd"/>
      <w:r w:rsidRPr="00EB5D39">
        <w:rPr>
          <w:rFonts w:cs="Arial"/>
          <w:b w:val="0"/>
          <w:sz w:val="24"/>
        </w:rPr>
        <w:t xml:space="preserve"> de cercear-se a indispensável atividade da imprensa. ‘</w:t>
      </w:r>
      <w:r w:rsidRPr="009605E2">
        <w:rPr>
          <w:rFonts w:cs="Arial"/>
          <w:sz w:val="24"/>
        </w:rPr>
        <w:t xml:space="preserve">A relação entre lei e liberdade é, obviamente, muito estreita, uma vez que a lei pode ou ser </w:t>
      </w:r>
      <w:proofErr w:type="gramStart"/>
      <w:r w:rsidRPr="009605E2">
        <w:rPr>
          <w:rFonts w:cs="Arial"/>
          <w:sz w:val="24"/>
        </w:rPr>
        <w:t>usada</w:t>
      </w:r>
      <w:proofErr w:type="gramEnd"/>
      <w:r w:rsidRPr="009605E2">
        <w:rPr>
          <w:rFonts w:cs="Arial"/>
          <w:sz w:val="24"/>
        </w:rPr>
        <w:t xml:space="preserve"> como instrumento de tirania, como ocorreu com </w:t>
      </w:r>
      <w:proofErr w:type="spellStart"/>
      <w:r w:rsidRPr="009605E2">
        <w:rPr>
          <w:rFonts w:cs="Arial"/>
          <w:sz w:val="24"/>
        </w:rPr>
        <w:t>freqüência</w:t>
      </w:r>
      <w:proofErr w:type="spellEnd"/>
      <w:r w:rsidRPr="009605E2">
        <w:rPr>
          <w:rFonts w:cs="Arial"/>
          <w:sz w:val="24"/>
        </w:rPr>
        <w:t xml:space="preserve"> em muitas épocas e sociedades, ou ser empregada como um meio de pôr em vigor aquelas liberdades básicas que, numa sociedade democrática, são consideradas parte essencial de uma vida adequada</w:t>
      </w:r>
      <w:r w:rsidRPr="00EB5D39">
        <w:rPr>
          <w:rFonts w:cs="Arial"/>
          <w:b w:val="0"/>
          <w:sz w:val="24"/>
        </w:rPr>
        <w:t xml:space="preserve">.’ (DENNIS LLOYD).” (STJ, HC 16982, Rel. Min. FELIX FISCHER, QUINTA TURMA, DJ 29/10/2001 P. 229, LEXSTJ 149/348.) </w:t>
      </w:r>
    </w:p>
    <w:p w:rsidR="00010704" w:rsidRPr="00EB5D39" w:rsidRDefault="00D70441" w:rsidP="00D70441">
      <w:pPr>
        <w:pStyle w:val="centralizar"/>
        <w:spacing w:line="360" w:lineRule="exact"/>
        <w:ind w:firstLine="709"/>
        <w:jc w:val="both"/>
        <w:rPr>
          <w:rFonts w:cs="Arial"/>
          <w:b w:val="0"/>
          <w:sz w:val="24"/>
        </w:rPr>
      </w:pPr>
      <w:r w:rsidRPr="009605E2">
        <w:rPr>
          <w:rFonts w:cs="Arial"/>
          <w:sz w:val="24"/>
        </w:rPr>
        <w:t>Na presente hipótese</w:t>
      </w:r>
      <w:r w:rsidRPr="00EB5D39">
        <w:rPr>
          <w:rFonts w:cs="Arial"/>
          <w:b w:val="0"/>
          <w:sz w:val="24"/>
        </w:rPr>
        <w:t xml:space="preserve">, os ataques podem ter sido veementes, cáusticos e desagradáveis, mas não caracterizam os crimes de calúnia e ou de </w:t>
      </w:r>
      <w:r w:rsidR="009605E2">
        <w:rPr>
          <w:rFonts w:cs="Arial"/>
          <w:b w:val="0"/>
          <w:sz w:val="24"/>
        </w:rPr>
        <w:t>difamação.</w:t>
      </w:r>
    </w:p>
    <w:p w:rsidR="0067702D" w:rsidRDefault="0067702D" w:rsidP="009F67B3">
      <w:pPr>
        <w:pStyle w:val="Pargrafo"/>
        <w:spacing w:line="360" w:lineRule="exact"/>
        <w:ind w:firstLine="709"/>
        <w:rPr>
          <w:rFonts w:cs="Arial"/>
          <w:b/>
          <w:sz w:val="24"/>
        </w:rPr>
      </w:pPr>
      <w:r>
        <w:rPr>
          <w:rFonts w:cs="Arial"/>
          <w:b/>
          <w:sz w:val="24"/>
        </w:rPr>
        <w:t xml:space="preserve">V </w:t>
      </w:r>
    </w:p>
    <w:p w:rsidR="0067702D" w:rsidRPr="0067702D" w:rsidRDefault="0067702D" w:rsidP="009F67B3">
      <w:pPr>
        <w:pStyle w:val="Pargrafo"/>
        <w:spacing w:line="360" w:lineRule="exact"/>
        <w:ind w:firstLine="709"/>
        <w:rPr>
          <w:rFonts w:cs="Arial"/>
          <w:sz w:val="24"/>
        </w:rPr>
      </w:pPr>
      <w:r w:rsidRPr="0067702D">
        <w:rPr>
          <w:rFonts w:cs="Arial"/>
          <w:sz w:val="24"/>
        </w:rPr>
        <w:t xml:space="preserve">À vista do exposto: </w:t>
      </w:r>
    </w:p>
    <w:p w:rsidR="0067702D" w:rsidRPr="0067702D" w:rsidRDefault="0067702D" w:rsidP="009F67B3">
      <w:pPr>
        <w:pStyle w:val="Pargrafo"/>
        <w:spacing w:line="360" w:lineRule="exact"/>
        <w:ind w:firstLine="709"/>
        <w:rPr>
          <w:rFonts w:cs="Arial"/>
          <w:sz w:val="24"/>
        </w:rPr>
      </w:pPr>
      <w:r w:rsidRPr="000050AE">
        <w:rPr>
          <w:rFonts w:cs="Arial"/>
          <w:b/>
          <w:sz w:val="24"/>
        </w:rPr>
        <w:t>A) acompanho o eminente Relator no tocante ao crime de injúria</w:t>
      </w:r>
      <w:r w:rsidRPr="0067702D">
        <w:rPr>
          <w:rFonts w:cs="Arial"/>
          <w:sz w:val="24"/>
        </w:rPr>
        <w:t xml:space="preserve"> (CP, Art. 140), e, assim, voto, no ponto, pela decretação da extinção da punibilidade em virtude da ocorrência da prescrição da pretensão punitiva; </w:t>
      </w:r>
    </w:p>
    <w:p w:rsidR="009F67B3" w:rsidRPr="003406F8" w:rsidRDefault="0067702D" w:rsidP="009F67B3">
      <w:pPr>
        <w:pStyle w:val="Pargrafo"/>
        <w:spacing w:line="360" w:lineRule="exact"/>
        <w:ind w:firstLine="709"/>
        <w:rPr>
          <w:rFonts w:cs="Arial"/>
          <w:b/>
          <w:sz w:val="24"/>
        </w:rPr>
      </w:pPr>
      <w:r w:rsidRPr="000050AE">
        <w:rPr>
          <w:rFonts w:cs="Arial"/>
          <w:b/>
          <w:sz w:val="24"/>
        </w:rPr>
        <w:t>B) divirjo, respeitosamente, do eminente Relator quanto aos crimes de calúnia</w:t>
      </w:r>
      <w:r w:rsidRPr="0067702D">
        <w:rPr>
          <w:rFonts w:cs="Arial"/>
          <w:sz w:val="24"/>
        </w:rPr>
        <w:t xml:space="preserve"> (CP, Art. 138) </w:t>
      </w:r>
      <w:r w:rsidRPr="000050AE">
        <w:rPr>
          <w:rFonts w:cs="Arial"/>
          <w:b/>
          <w:sz w:val="24"/>
        </w:rPr>
        <w:t>e de difamação</w:t>
      </w:r>
      <w:r w:rsidRPr="0067702D">
        <w:rPr>
          <w:rFonts w:cs="Arial"/>
          <w:sz w:val="24"/>
        </w:rPr>
        <w:t xml:space="preserve"> (CP, Art. 139), e, assim, voto, no ponto, pelo não provimento do recurso no sentido estrito.</w:t>
      </w:r>
    </w:p>
    <w:p w:rsidR="009B2DC4" w:rsidRPr="003406F8" w:rsidRDefault="009B2DC4" w:rsidP="0067702D">
      <w:pPr>
        <w:pStyle w:val="Pargrafo"/>
        <w:spacing w:line="360" w:lineRule="auto"/>
        <w:ind w:firstLine="0"/>
        <w:rPr>
          <w:rFonts w:cs="Arial"/>
          <w:sz w:val="24"/>
        </w:rPr>
      </w:pPr>
    </w:p>
    <w:p w:rsidR="009B2DC4" w:rsidRPr="003406F8" w:rsidRDefault="009B2DC4" w:rsidP="009B2DC4">
      <w:pPr>
        <w:pStyle w:val="Identificao"/>
        <w:jc w:val="center"/>
        <w:rPr>
          <w:rFonts w:cs="Arial"/>
          <w:sz w:val="24"/>
        </w:rPr>
      </w:pPr>
      <w:r w:rsidRPr="003406F8">
        <w:rPr>
          <w:rFonts w:cs="Arial"/>
          <w:sz w:val="24"/>
        </w:rPr>
        <w:t>Juiz Federal LEÃO APARECIDO ALVES</w:t>
      </w:r>
    </w:p>
    <w:p w:rsidR="009B2DC4" w:rsidRPr="003406F8" w:rsidRDefault="0067702D" w:rsidP="009B2DC4">
      <w:pPr>
        <w:pStyle w:val="Pargrafo"/>
        <w:spacing w:before="0" w:after="0"/>
        <w:ind w:firstLine="0"/>
        <w:jc w:val="center"/>
        <w:rPr>
          <w:rFonts w:cs="Arial"/>
          <w:sz w:val="24"/>
        </w:rPr>
      </w:pPr>
      <w:r>
        <w:rPr>
          <w:rFonts w:cs="Arial"/>
          <w:sz w:val="24"/>
        </w:rPr>
        <w:t>Vogal</w:t>
      </w:r>
      <w:r w:rsidR="009B2DC4" w:rsidRPr="003406F8">
        <w:rPr>
          <w:rFonts w:cs="Arial"/>
          <w:sz w:val="24"/>
        </w:rPr>
        <w:t xml:space="preserve"> Convocado</w:t>
      </w:r>
    </w:p>
    <w:p w:rsidR="00D06229" w:rsidRPr="003406F8" w:rsidRDefault="00D06229" w:rsidP="0018385D">
      <w:pPr>
        <w:pStyle w:val="Identificao"/>
        <w:rPr>
          <w:rFonts w:cs="Arial"/>
          <w:sz w:val="24"/>
        </w:rPr>
      </w:pPr>
    </w:p>
    <w:sectPr w:rsidR="00D06229" w:rsidRPr="003406F8" w:rsidSect="004554A7">
      <w:headerReference w:type="default" r:id="rId8"/>
      <w:footerReference w:type="default" r:id="rId9"/>
      <w:headerReference w:type="first" r:id="rId10"/>
      <w:footerReference w:type="first" r:id="rId11"/>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6646" w:rsidRDefault="00836646">
      <w:r>
        <w:separator/>
      </w:r>
    </w:p>
  </w:endnote>
  <w:endnote w:type="continuationSeparator" w:id="0">
    <w:p w:rsidR="00836646" w:rsidRDefault="008366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646" w:rsidRDefault="00836646">
    <w:pPr>
      <w:tabs>
        <w:tab w:val="right" w:pos="9360"/>
      </w:tabs>
    </w:pPr>
    <w:r>
      <w:rPr>
        <w:rFonts w:ascii="Arial" w:hAnsi="Arial"/>
        <w:sz w:val="10"/>
      </w:rPr>
      <w:t>TRF 1ª REGIÃO/IMP.15-02-05</w:t>
    </w:r>
    <w:r>
      <w:rPr>
        <w:rFonts w:ascii="Arial" w:hAnsi="Arial"/>
        <w:sz w:val="10"/>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646" w:rsidRDefault="00836646">
    <w:pPr>
      <w:tabs>
        <w:tab w:val="right" w:pos="9360"/>
      </w:tabs>
      <w:rPr>
        <w:sz w:val="13"/>
      </w:rPr>
    </w:pPr>
    <w:r>
      <w:rPr>
        <w:rFonts w:ascii="Arial" w:hAnsi="Arial"/>
        <w:sz w:val="13"/>
      </w:rPr>
      <w:t xml:space="preserve">Criado por </w:t>
    </w:r>
    <w:r w:rsidR="0023289B">
      <w:rPr>
        <w:rFonts w:ascii="Arial" w:hAnsi="Arial"/>
        <w:sz w:val="13"/>
      </w:rPr>
      <w:fldChar w:fldCharType="begin"/>
    </w:r>
    <w:r>
      <w:rPr>
        <w:rFonts w:ascii="Arial" w:hAnsi="Arial"/>
        <w:sz w:val="13"/>
      </w:rPr>
      <w:instrText xml:space="preserve"> AUTHOR </w:instrText>
    </w:r>
    <w:r w:rsidR="0023289B">
      <w:rPr>
        <w:rFonts w:ascii="Arial" w:hAnsi="Arial"/>
        <w:sz w:val="13"/>
      </w:rPr>
      <w:fldChar w:fldCharType="separate"/>
    </w:r>
    <w:r w:rsidR="00B065C3">
      <w:rPr>
        <w:rFonts w:ascii="Arial" w:hAnsi="Arial"/>
        <w:noProof/>
        <w:sz w:val="13"/>
      </w:rPr>
      <w:t>ju106</w:t>
    </w:r>
    <w:r w:rsidR="0023289B">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6646" w:rsidRDefault="00836646">
      <w:r>
        <w:separator/>
      </w:r>
    </w:p>
  </w:footnote>
  <w:footnote w:type="continuationSeparator" w:id="0">
    <w:p w:rsidR="00836646" w:rsidRDefault="00836646">
      <w:r>
        <w:continuationSeparator/>
      </w:r>
    </w:p>
  </w:footnote>
  <w:footnote w:id="1">
    <w:p w:rsidR="00D70441" w:rsidRPr="008F2E98" w:rsidRDefault="00D70441" w:rsidP="00D70441">
      <w:pPr>
        <w:pStyle w:val="Textodenotaderodap"/>
        <w:jc w:val="both"/>
        <w:rPr>
          <w:rFonts w:ascii="Arial" w:hAnsi="Arial" w:cs="Arial"/>
          <w:lang w:val="en-US"/>
        </w:rPr>
      </w:pPr>
      <w:r w:rsidRPr="008F2E98">
        <w:rPr>
          <w:rStyle w:val="Refdenotaderodap"/>
          <w:rFonts w:ascii="Arial" w:hAnsi="Arial" w:cs="Arial"/>
        </w:rPr>
        <w:footnoteRef/>
      </w:r>
      <w:r w:rsidRPr="008F2E98">
        <w:rPr>
          <w:rFonts w:ascii="Arial" w:hAnsi="Arial" w:cs="Arial"/>
          <w:lang w:val="en-US"/>
        </w:rPr>
        <w:t xml:space="preserve"> “Cases which impose liability for erroneous reports of the political conduct of officials reflect the obsolete doctrine that the governed must not criticize their governors.”</w:t>
      </w:r>
    </w:p>
  </w:footnote>
  <w:footnote w:id="2">
    <w:p w:rsidR="00D70441" w:rsidRPr="008F2E98" w:rsidRDefault="00D70441" w:rsidP="00D70441">
      <w:pPr>
        <w:pStyle w:val="Textodenotaderodap"/>
        <w:jc w:val="both"/>
        <w:rPr>
          <w:rFonts w:ascii="Arial" w:hAnsi="Arial" w:cs="Arial"/>
          <w:lang w:val="en-US"/>
        </w:rPr>
      </w:pPr>
      <w:r w:rsidRPr="008F2E98">
        <w:rPr>
          <w:rStyle w:val="Refdenotaderodap"/>
          <w:rFonts w:ascii="Arial" w:hAnsi="Arial" w:cs="Arial"/>
        </w:rPr>
        <w:footnoteRef/>
      </w:r>
      <w:r w:rsidRPr="008F2E98">
        <w:rPr>
          <w:rFonts w:ascii="Arial" w:hAnsi="Arial" w:cs="Arial"/>
          <w:lang w:val="en-US"/>
        </w:rPr>
        <w:t xml:space="preserve"> “Where judicial officers are involved, this Court has held that concern for the dignity and reputation of the courts does not justify the punishment as criminal contempt of criticism of the judge or his decision. </w:t>
      </w:r>
      <w:r w:rsidRPr="008F2E98">
        <w:rPr>
          <w:rStyle w:val="nfase"/>
          <w:rFonts w:ascii="Arial" w:hAnsi="Arial" w:cs="Arial"/>
          <w:lang w:val="en-US"/>
        </w:rPr>
        <w:t>Bridges v. California, 314 U. S. 252.</w:t>
      </w:r>
      <w:r w:rsidRPr="008F2E98">
        <w:rPr>
          <w:rFonts w:ascii="Arial" w:hAnsi="Arial" w:cs="Arial"/>
          <w:lang w:val="en-US"/>
        </w:rPr>
        <w:t xml:space="preserve"> This is true even though the utterance contains ‘half-truths’ and ‘misinformation.’ </w:t>
      </w:r>
      <w:proofErr w:type="spellStart"/>
      <w:proofErr w:type="gramStart"/>
      <w:r w:rsidRPr="008F2E98">
        <w:rPr>
          <w:rStyle w:val="nfase"/>
          <w:rFonts w:ascii="Arial" w:hAnsi="Arial" w:cs="Arial"/>
          <w:lang w:val="en-US"/>
        </w:rPr>
        <w:t>Pennekamp</w:t>
      </w:r>
      <w:proofErr w:type="spellEnd"/>
      <w:r w:rsidRPr="008F2E98">
        <w:rPr>
          <w:rStyle w:val="nfase"/>
          <w:rFonts w:ascii="Arial" w:hAnsi="Arial" w:cs="Arial"/>
          <w:lang w:val="en-US"/>
        </w:rPr>
        <w:t xml:space="preserve"> v. Florida, 328 U. S. 331, 342, 343, n. 5, 345.</w:t>
      </w:r>
      <w:proofErr w:type="gramEnd"/>
      <w:r w:rsidRPr="008F2E98">
        <w:rPr>
          <w:rFonts w:ascii="Arial" w:hAnsi="Arial" w:cs="Arial"/>
          <w:lang w:val="en-US"/>
        </w:rPr>
        <w:t xml:space="preserve"> Such repression can be justified, if at all, only by a clear and present danger of the obstruction of justice. </w:t>
      </w:r>
      <w:r w:rsidRPr="008F2E98">
        <w:rPr>
          <w:rStyle w:val="nfase"/>
          <w:rFonts w:ascii="Arial" w:hAnsi="Arial" w:cs="Arial"/>
          <w:lang w:val="en-US"/>
        </w:rPr>
        <w:t>See also Craig v. Harney, 331 U. S. 367;</w:t>
      </w:r>
      <w:r w:rsidRPr="008F2E98">
        <w:rPr>
          <w:rFonts w:ascii="Arial" w:hAnsi="Arial" w:cs="Arial"/>
          <w:lang w:val="en-US"/>
        </w:rPr>
        <w:t xml:space="preserve"> </w:t>
      </w:r>
      <w:r w:rsidRPr="008F2E98">
        <w:rPr>
          <w:rStyle w:val="nfase"/>
          <w:rFonts w:ascii="Arial" w:hAnsi="Arial" w:cs="Arial"/>
          <w:lang w:val="en-US"/>
        </w:rPr>
        <w:t>Wood v. Georgia, 370. U. S. 375.</w:t>
      </w:r>
      <w:r w:rsidRPr="008F2E98">
        <w:rPr>
          <w:rFonts w:ascii="Arial" w:hAnsi="Arial" w:cs="Arial"/>
          <w:lang w:val="en-US"/>
        </w:rPr>
        <w:t xml:space="preserve"> If judges are to be treated as ‘men of fortitude, able to thrive in a hardy climate,’ </w:t>
      </w:r>
      <w:r w:rsidRPr="008F2E98">
        <w:rPr>
          <w:rStyle w:val="nfase"/>
          <w:rFonts w:ascii="Arial" w:hAnsi="Arial" w:cs="Arial"/>
          <w:lang w:val="en-US"/>
        </w:rPr>
        <w:t>Craig v. Harney, supra,</w:t>
      </w:r>
      <w:r w:rsidRPr="008F2E98">
        <w:rPr>
          <w:rFonts w:ascii="Arial" w:hAnsi="Arial" w:cs="Arial"/>
          <w:lang w:val="en-US"/>
        </w:rPr>
        <w:t xml:space="preserve"> 331 U. S. at 331 U. S. 376, surely the same must be true of other government officials, such as elected city commissioners. Criticism of their official conduct does not lose its constitutional protection merely because it is effective criticism, and hence diminishes their official reputations.”</w:t>
      </w:r>
    </w:p>
  </w:footnote>
  <w:footnote w:id="3">
    <w:p w:rsidR="00D70441" w:rsidRPr="008F2E98" w:rsidRDefault="00D70441" w:rsidP="00D70441">
      <w:pPr>
        <w:pStyle w:val="Textodenotaderodap"/>
        <w:jc w:val="both"/>
        <w:rPr>
          <w:rFonts w:ascii="Arial" w:hAnsi="Arial" w:cs="Arial"/>
          <w:lang w:val="en-US"/>
        </w:rPr>
      </w:pPr>
      <w:r w:rsidRPr="008F2E98">
        <w:rPr>
          <w:rStyle w:val="Refdenotaderodap"/>
          <w:rFonts w:ascii="Arial" w:hAnsi="Arial" w:cs="Arial"/>
        </w:rPr>
        <w:footnoteRef/>
      </w:r>
      <w:r w:rsidRPr="008F2E98">
        <w:rPr>
          <w:rFonts w:ascii="Arial" w:hAnsi="Arial" w:cs="Arial"/>
          <w:lang w:val="en-US"/>
        </w:rPr>
        <w:t xml:space="preserve"> “Thus, we consider this case against the background of a profound national commitment to the principle that debate on public issues should be uninhibited, robust, and wide-open, and that it may well include vehement, caustic, and sometimes unpleasantly sharp attacks on government and public officials. </w:t>
      </w:r>
      <w:proofErr w:type="gramStart"/>
      <w:r w:rsidRPr="008F2E98">
        <w:rPr>
          <w:rStyle w:val="nfase"/>
          <w:rFonts w:ascii="Arial" w:hAnsi="Arial" w:cs="Arial"/>
          <w:lang w:val="en-US"/>
        </w:rPr>
        <w:t xml:space="preserve">See </w:t>
      </w:r>
      <w:proofErr w:type="spellStart"/>
      <w:r w:rsidRPr="008F2E98">
        <w:rPr>
          <w:rStyle w:val="nfase"/>
          <w:rFonts w:ascii="Arial" w:hAnsi="Arial" w:cs="Arial"/>
          <w:lang w:val="en-US"/>
        </w:rPr>
        <w:t>Terminiello</w:t>
      </w:r>
      <w:proofErr w:type="spellEnd"/>
      <w:r w:rsidRPr="008F2E98">
        <w:rPr>
          <w:rStyle w:val="nfase"/>
          <w:rFonts w:ascii="Arial" w:hAnsi="Arial" w:cs="Arial"/>
          <w:lang w:val="en-US"/>
        </w:rPr>
        <w:t xml:space="preserve"> v. Chicago, 337 U. S. 1, 4;</w:t>
      </w:r>
      <w:r w:rsidRPr="008F2E98">
        <w:rPr>
          <w:rFonts w:ascii="Arial" w:hAnsi="Arial" w:cs="Arial"/>
          <w:lang w:val="en-US"/>
        </w:rPr>
        <w:t xml:space="preserve"> </w:t>
      </w:r>
      <w:r w:rsidRPr="008F2E98">
        <w:rPr>
          <w:rStyle w:val="nfase"/>
          <w:rFonts w:ascii="Arial" w:hAnsi="Arial" w:cs="Arial"/>
          <w:lang w:val="en-US"/>
        </w:rPr>
        <w:t xml:space="preserve">De </w:t>
      </w:r>
      <w:proofErr w:type="spellStart"/>
      <w:r w:rsidRPr="008F2E98">
        <w:rPr>
          <w:rStyle w:val="nfase"/>
          <w:rFonts w:ascii="Arial" w:hAnsi="Arial" w:cs="Arial"/>
          <w:lang w:val="en-US"/>
        </w:rPr>
        <w:t>Jonge</w:t>
      </w:r>
      <w:proofErr w:type="spellEnd"/>
      <w:r w:rsidRPr="008F2E98">
        <w:rPr>
          <w:rStyle w:val="nfase"/>
          <w:rFonts w:ascii="Arial" w:hAnsi="Arial" w:cs="Arial"/>
          <w:lang w:val="en-US"/>
        </w:rPr>
        <w:t xml:space="preserve"> v. Oregon, 299 U. S. 353, 365.”</w:t>
      </w:r>
      <w:proofErr w:type="gramEnd"/>
    </w:p>
  </w:footnote>
  <w:footnote w:id="4">
    <w:p w:rsidR="00D70441" w:rsidRPr="008F2E98" w:rsidRDefault="00D70441" w:rsidP="00D70441">
      <w:pPr>
        <w:pStyle w:val="Textodenotaderodap"/>
        <w:jc w:val="both"/>
        <w:rPr>
          <w:rFonts w:ascii="Arial" w:hAnsi="Arial" w:cs="Arial"/>
          <w:lang w:val="en-US"/>
        </w:rPr>
      </w:pPr>
      <w:r w:rsidRPr="008F2E98">
        <w:rPr>
          <w:rStyle w:val="Refdenotaderodap"/>
          <w:rFonts w:ascii="Arial" w:hAnsi="Arial" w:cs="Arial"/>
        </w:rPr>
        <w:footnoteRef/>
      </w:r>
      <w:r w:rsidRPr="008F2E98">
        <w:rPr>
          <w:rFonts w:ascii="Arial" w:hAnsi="Arial" w:cs="Arial"/>
          <w:lang w:val="en-US"/>
        </w:rPr>
        <w:t xml:space="preserve"> “If we advert to the nature of Republican Government, we shall find that the censorial power is in the people over the </w:t>
      </w:r>
      <w:proofErr w:type="gramStart"/>
      <w:r w:rsidRPr="008F2E98">
        <w:rPr>
          <w:rFonts w:ascii="Arial" w:hAnsi="Arial" w:cs="Arial"/>
          <w:lang w:val="en-US"/>
        </w:rPr>
        <w:t>Government,</w:t>
      </w:r>
      <w:proofErr w:type="gramEnd"/>
      <w:r w:rsidRPr="008F2E98">
        <w:rPr>
          <w:rFonts w:ascii="Arial" w:hAnsi="Arial" w:cs="Arial"/>
          <w:lang w:val="en-US"/>
        </w:rPr>
        <w:t xml:space="preserve"> and not in the Government over the people.”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646" w:rsidRDefault="00836646">
    <w:pPr>
      <w:spacing w:before="120"/>
      <w:rPr>
        <w:rFonts w:ascii="Arial" w:hAnsi="Arial"/>
        <w:sz w:val="16"/>
      </w:rPr>
    </w:pPr>
    <w:r>
      <w:rPr>
        <w:rFonts w:ascii="Arial" w:hAnsi="Arial"/>
        <w:sz w:val="16"/>
      </w:rPr>
      <w:t>PODER JUDICIÁRIO</w:t>
    </w:r>
  </w:p>
  <w:p w:rsidR="00836646" w:rsidRDefault="00836646">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23289B">
      <w:rPr>
        <w:rFonts w:ascii="Arial" w:hAnsi="Arial" w:cs="Arial"/>
        <w:bCs/>
        <w:sz w:val="16"/>
      </w:rPr>
      <w:fldChar w:fldCharType="begin"/>
    </w:r>
    <w:r>
      <w:rPr>
        <w:rFonts w:ascii="Arial" w:hAnsi="Arial" w:cs="Arial"/>
        <w:bCs/>
        <w:sz w:val="16"/>
      </w:rPr>
      <w:instrText xml:space="preserve"> PAGE </w:instrText>
    </w:r>
    <w:r w:rsidR="0023289B">
      <w:rPr>
        <w:rFonts w:ascii="Arial" w:hAnsi="Arial" w:cs="Arial"/>
        <w:bCs/>
        <w:sz w:val="16"/>
      </w:rPr>
      <w:fldChar w:fldCharType="separate"/>
    </w:r>
    <w:r w:rsidR="00B065C3">
      <w:rPr>
        <w:rFonts w:ascii="Arial" w:hAnsi="Arial" w:cs="Arial"/>
        <w:bCs/>
        <w:noProof/>
        <w:sz w:val="16"/>
      </w:rPr>
      <w:t>7</w:t>
    </w:r>
    <w:r w:rsidR="0023289B">
      <w:rPr>
        <w:rFonts w:ascii="Arial" w:hAnsi="Arial" w:cs="Arial"/>
        <w:bCs/>
        <w:sz w:val="16"/>
      </w:rPr>
      <w:fldChar w:fldCharType="end"/>
    </w:r>
    <w:r>
      <w:rPr>
        <w:rFonts w:ascii="Arial" w:hAnsi="Arial" w:cs="Arial"/>
        <w:bCs/>
        <w:sz w:val="16"/>
      </w:rPr>
      <w:t>/</w:t>
    </w:r>
    <w:r w:rsidR="0023289B">
      <w:rPr>
        <w:rFonts w:ascii="Arial" w:hAnsi="Arial" w:cs="Arial"/>
        <w:bCs/>
        <w:sz w:val="16"/>
      </w:rPr>
      <w:fldChar w:fldCharType="begin"/>
    </w:r>
    <w:r>
      <w:rPr>
        <w:rFonts w:ascii="Arial" w:hAnsi="Arial" w:cs="Arial"/>
        <w:bCs/>
        <w:sz w:val="16"/>
      </w:rPr>
      <w:instrText xml:space="preserve"> NUMPAGES </w:instrText>
    </w:r>
    <w:r w:rsidR="0023289B">
      <w:rPr>
        <w:rFonts w:ascii="Arial" w:hAnsi="Arial" w:cs="Arial"/>
        <w:bCs/>
        <w:sz w:val="16"/>
      </w:rPr>
      <w:fldChar w:fldCharType="separate"/>
    </w:r>
    <w:r w:rsidR="00B065C3">
      <w:rPr>
        <w:rFonts w:ascii="Arial" w:hAnsi="Arial" w:cs="Arial"/>
        <w:bCs/>
        <w:noProof/>
        <w:sz w:val="16"/>
      </w:rPr>
      <w:t>7</w:t>
    </w:r>
    <w:r w:rsidR="0023289B">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646" w:rsidRDefault="00836646" w:rsidP="004554A7">
    <w:pPr>
      <w:spacing w:before="120"/>
      <w:jc w:val="center"/>
      <w:rPr>
        <w:rFonts w:ascii="Arial" w:hAnsi="Arial"/>
        <w:sz w:val="16"/>
      </w:rPr>
    </w:pPr>
    <w:r>
      <w:rPr>
        <w:rFonts w:ascii="Arial" w:hAnsi="Arial"/>
        <w:noProof/>
        <w:sz w:val="16"/>
        <w:lang w:eastAsia="pt-BR"/>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836646" w:rsidRDefault="00836646" w:rsidP="004554A7">
    <w:pPr>
      <w:spacing w:before="120"/>
      <w:jc w:val="center"/>
      <w:rPr>
        <w:rFonts w:ascii="Arial" w:hAnsi="Arial"/>
        <w:sz w:val="16"/>
      </w:rPr>
    </w:pPr>
    <w:r>
      <w:rPr>
        <w:rFonts w:ascii="Arial" w:hAnsi="Arial"/>
        <w:sz w:val="16"/>
      </w:rPr>
      <w:t>PODER JUDICIÁRIO</w:t>
    </w:r>
  </w:p>
  <w:p w:rsidR="00836646" w:rsidRDefault="00836646"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isplayBackgroundShape/>
  <w:proofState w:spelling="clean" w:grammar="clean"/>
  <w:stylePaneFormatFilter w:val="1801"/>
  <w:defaultTabStop w:val="709"/>
  <w:hyphenationZone w:val="425"/>
  <w:drawingGridHorizontalSpacing w:val="120"/>
  <w:displayHorizontalDrawingGridEvery w:val="2"/>
  <w:noPunctuationKerning/>
  <w:characterSpacingControl w:val="doNotCompress"/>
  <w:hdrShapeDefaults>
    <o:shapedefaults v:ext="edit" spidmax="152577"/>
  </w:hdrShapeDefaults>
  <w:footnotePr>
    <w:footnote w:id="-1"/>
    <w:footnote w:id="0"/>
  </w:footnotePr>
  <w:endnotePr>
    <w:endnote w:id="-1"/>
    <w:endnote w:id="0"/>
  </w:endnotePr>
  <w:compat/>
  <w:rsids>
    <w:rsidRoot w:val="00F7161B"/>
    <w:rsid w:val="00000B35"/>
    <w:rsid w:val="00000D0E"/>
    <w:rsid w:val="00000FF6"/>
    <w:rsid w:val="0000465B"/>
    <w:rsid w:val="000050AE"/>
    <w:rsid w:val="00005846"/>
    <w:rsid w:val="00005D18"/>
    <w:rsid w:val="00007270"/>
    <w:rsid w:val="00010704"/>
    <w:rsid w:val="000150B4"/>
    <w:rsid w:val="00015524"/>
    <w:rsid w:val="000248CC"/>
    <w:rsid w:val="00024D97"/>
    <w:rsid w:val="00026978"/>
    <w:rsid w:val="000304EE"/>
    <w:rsid w:val="000306C6"/>
    <w:rsid w:val="00032E13"/>
    <w:rsid w:val="00033F8F"/>
    <w:rsid w:val="00034517"/>
    <w:rsid w:val="00036FC8"/>
    <w:rsid w:val="000377CC"/>
    <w:rsid w:val="000403BF"/>
    <w:rsid w:val="00041FDA"/>
    <w:rsid w:val="000568F9"/>
    <w:rsid w:val="000605A1"/>
    <w:rsid w:val="0006616C"/>
    <w:rsid w:val="00070BB3"/>
    <w:rsid w:val="00071415"/>
    <w:rsid w:val="00072A3C"/>
    <w:rsid w:val="00074ABC"/>
    <w:rsid w:val="00075903"/>
    <w:rsid w:val="00082528"/>
    <w:rsid w:val="00082BBC"/>
    <w:rsid w:val="00082D4B"/>
    <w:rsid w:val="00085E56"/>
    <w:rsid w:val="0009336D"/>
    <w:rsid w:val="00095BAF"/>
    <w:rsid w:val="00097DE8"/>
    <w:rsid w:val="000A2F4C"/>
    <w:rsid w:val="000A4610"/>
    <w:rsid w:val="000A4B40"/>
    <w:rsid w:val="000A7723"/>
    <w:rsid w:val="000B21AE"/>
    <w:rsid w:val="000B4DE4"/>
    <w:rsid w:val="000C7BBB"/>
    <w:rsid w:val="000E2FE9"/>
    <w:rsid w:val="000E6B89"/>
    <w:rsid w:val="000E6E35"/>
    <w:rsid w:val="000F106C"/>
    <w:rsid w:val="000F1542"/>
    <w:rsid w:val="000F2538"/>
    <w:rsid w:val="000F53BE"/>
    <w:rsid w:val="000F72AA"/>
    <w:rsid w:val="0010042C"/>
    <w:rsid w:val="001015D3"/>
    <w:rsid w:val="00105394"/>
    <w:rsid w:val="0011427B"/>
    <w:rsid w:val="00120202"/>
    <w:rsid w:val="00120BDC"/>
    <w:rsid w:val="00121F29"/>
    <w:rsid w:val="00123810"/>
    <w:rsid w:val="0012394D"/>
    <w:rsid w:val="00123A24"/>
    <w:rsid w:val="00124887"/>
    <w:rsid w:val="0013296F"/>
    <w:rsid w:val="001357AF"/>
    <w:rsid w:val="0014291F"/>
    <w:rsid w:val="001478C2"/>
    <w:rsid w:val="0015179D"/>
    <w:rsid w:val="00152811"/>
    <w:rsid w:val="00152B4A"/>
    <w:rsid w:val="00156490"/>
    <w:rsid w:val="00170602"/>
    <w:rsid w:val="0017177E"/>
    <w:rsid w:val="00171AE7"/>
    <w:rsid w:val="00173600"/>
    <w:rsid w:val="00177123"/>
    <w:rsid w:val="001800BE"/>
    <w:rsid w:val="00182A30"/>
    <w:rsid w:val="0018385D"/>
    <w:rsid w:val="001848E6"/>
    <w:rsid w:val="00184D92"/>
    <w:rsid w:val="00191A8C"/>
    <w:rsid w:val="001928BE"/>
    <w:rsid w:val="001937F6"/>
    <w:rsid w:val="00194C8F"/>
    <w:rsid w:val="00194ED7"/>
    <w:rsid w:val="00195790"/>
    <w:rsid w:val="00195CDE"/>
    <w:rsid w:val="001A4137"/>
    <w:rsid w:val="001B2D60"/>
    <w:rsid w:val="001B3B40"/>
    <w:rsid w:val="001B4E31"/>
    <w:rsid w:val="001C4D63"/>
    <w:rsid w:val="001D07B1"/>
    <w:rsid w:val="001D31FB"/>
    <w:rsid w:val="001D4CE7"/>
    <w:rsid w:val="001E00A3"/>
    <w:rsid w:val="001E0283"/>
    <w:rsid w:val="001E158F"/>
    <w:rsid w:val="001E78CB"/>
    <w:rsid w:val="001F0A60"/>
    <w:rsid w:val="001F44F2"/>
    <w:rsid w:val="001F7F9F"/>
    <w:rsid w:val="0020009C"/>
    <w:rsid w:val="00207FA6"/>
    <w:rsid w:val="00210550"/>
    <w:rsid w:val="00212DA1"/>
    <w:rsid w:val="0021320D"/>
    <w:rsid w:val="00215323"/>
    <w:rsid w:val="00217404"/>
    <w:rsid w:val="002176E6"/>
    <w:rsid w:val="00217F6E"/>
    <w:rsid w:val="0023289B"/>
    <w:rsid w:val="002331F7"/>
    <w:rsid w:val="002354E7"/>
    <w:rsid w:val="00236912"/>
    <w:rsid w:val="00242696"/>
    <w:rsid w:val="002433B7"/>
    <w:rsid w:val="00250C9C"/>
    <w:rsid w:val="0025387B"/>
    <w:rsid w:val="002539E5"/>
    <w:rsid w:val="00260C8A"/>
    <w:rsid w:val="00261ED4"/>
    <w:rsid w:val="00264BA3"/>
    <w:rsid w:val="00264DB4"/>
    <w:rsid w:val="00265185"/>
    <w:rsid w:val="0026753D"/>
    <w:rsid w:val="00277459"/>
    <w:rsid w:val="002779C4"/>
    <w:rsid w:val="002815AE"/>
    <w:rsid w:val="0028419F"/>
    <w:rsid w:val="002844CB"/>
    <w:rsid w:val="00284A64"/>
    <w:rsid w:val="00285B87"/>
    <w:rsid w:val="002874EC"/>
    <w:rsid w:val="00287846"/>
    <w:rsid w:val="00287E0E"/>
    <w:rsid w:val="0029044E"/>
    <w:rsid w:val="002919CA"/>
    <w:rsid w:val="00291E0A"/>
    <w:rsid w:val="002934FD"/>
    <w:rsid w:val="002A3AAA"/>
    <w:rsid w:val="002A5711"/>
    <w:rsid w:val="002B0F10"/>
    <w:rsid w:val="002B10F9"/>
    <w:rsid w:val="002B1961"/>
    <w:rsid w:val="002B1F67"/>
    <w:rsid w:val="002B2E43"/>
    <w:rsid w:val="002B780A"/>
    <w:rsid w:val="002C003A"/>
    <w:rsid w:val="002C091E"/>
    <w:rsid w:val="002C1B74"/>
    <w:rsid w:val="002C5976"/>
    <w:rsid w:val="002C62D9"/>
    <w:rsid w:val="002D0CEC"/>
    <w:rsid w:val="002D5443"/>
    <w:rsid w:val="002D5E26"/>
    <w:rsid w:val="002D5FB5"/>
    <w:rsid w:val="002E49DA"/>
    <w:rsid w:val="002F42FF"/>
    <w:rsid w:val="002F5CDD"/>
    <w:rsid w:val="002F78BD"/>
    <w:rsid w:val="00302354"/>
    <w:rsid w:val="00303B31"/>
    <w:rsid w:val="00303FDA"/>
    <w:rsid w:val="0030453F"/>
    <w:rsid w:val="003067FE"/>
    <w:rsid w:val="00307FD0"/>
    <w:rsid w:val="003129D7"/>
    <w:rsid w:val="003216A5"/>
    <w:rsid w:val="0032202C"/>
    <w:rsid w:val="0032337C"/>
    <w:rsid w:val="003263C2"/>
    <w:rsid w:val="0032760C"/>
    <w:rsid w:val="00331A7D"/>
    <w:rsid w:val="00335BE1"/>
    <w:rsid w:val="003400C6"/>
    <w:rsid w:val="00340696"/>
    <w:rsid w:val="003406F8"/>
    <w:rsid w:val="0034115E"/>
    <w:rsid w:val="003416D8"/>
    <w:rsid w:val="00351F34"/>
    <w:rsid w:val="003562D4"/>
    <w:rsid w:val="00361A9F"/>
    <w:rsid w:val="0036409D"/>
    <w:rsid w:val="00364E8E"/>
    <w:rsid w:val="00365CA9"/>
    <w:rsid w:val="00366F01"/>
    <w:rsid w:val="003678CF"/>
    <w:rsid w:val="0037411E"/>
    <w:rsid w:val="00375A4B"/>
    <w:rsid w:val="00375A59"/>
    <w:rsid w:val="00381F9A"/>
    <w:rsid w:val="00390DBA"/>
    <w:rsid w:val="003923B3"/>
    <w:rsid w:val="0039364C"/>
    <w:rsid w:val="003A0F5B"/>
    <w:rsid w:val="003A290F"/>
    <w:rsid w:val="003A3D41"/>
    <w:rsid w:val="003A4BC9"/>
    <w:rsid w:val="003A5DB5"/>
    <w:rsid w:val="003A630E"/>
    <w:rsid w:val="003B4968"/>
    <w:rsid w:val="003B4CE3"/>
    <w:rsid w:val="003B58D6"/>
    <w:rsid w:val="003B7CFB"/>
    <w:rsid w:val="003C0F02"/>
    <w:rsid w:val="003D05A8"/>
    <w:rsid w:val="003D248B"/>
    <w:rsid w:val="003D6BC2"/>
    <w:rsid w:val="003E1053"/>
    <w:rsid w:val="003F541C"/>
    <w:rsid w:val="003F71BF"/>
    <w:rsid w:val="00401834"/>
    <w:rsid w:val="00403C58"/>
    <w:rsid w:val="00405E11"/>
    <w:rsid w:val="00406852"/>
    <w:rsid w:val="0041010D"/>
    <w:rsid w:val="00412BD6"/>
    <w:rsid w:val="0041350D"/>
    <w:rsid w:val="00413610"/>
    <w:rsid w:val="0042268C"/>
    <w:rsid w:val="00422B51"/>
    <w:rsid w:val="004250B3"/>
    <w:rsid w:val="004269A8"/>
    <w:rsid w:val="00427C3F"/>
    <w:rsid w:val="0044066F"/>
    <w:rsid w:val="00444D37"/>
    <w:rsid w:val="00446215"/>
    <w:rsid w:val="004554A7"/>
    <w:rsid w:val="0045642E"/>
    <w:rsid w:val="004621BA"/>
    <w:rsid w:val="00462716"/>
    <w:rsid w:val="00464AF1"/>
    <w:rsid w:val="0046566B"/>
    <w:rsid w:val="00466204"/>
    <w:rsid w:val="00466DE8"/>
    <w:rsid w:val="0046744F"/>
    <w:rsid w:val="0047048E"/>
    <w:rsid w:val="00471CDF"/>
    <w:rsid w:val="00472395"/>
    <w:rsid w:val="004741CD"/>
    <w:rsid w:val="00474CC3"/>
    <w:rsid w:val="004764D0"/>
    <w:rsid w:val="004810CF"/>
    <w:rsid w:val="004835F6"/>
    <w:rsid w:val="00484BDF"/>
    <w:rsid w:val="00486907"/>
    <w:rsid w:val="00487FAD"/>
    <w:rsid w:val="00492000"/>
    <w:rsid w:val="00492BC7"/>
    <w:rsid w:val="0049471C"/>
    <w:rsid w:val="00495D61"/>
    <w:rsid w:val="004A4EC8"/>
    <w:rsid w:val="004B33CC"/>
    <w:rsid w:val="004B3641"/>
    <w:rsid w:val="004B460F"/>
    <w:rsid w:val="004B76F3"/>
    <w:rsid w:val="004C14E1"/>
    <w:rsid w:val="004C17AC"/>
    <w:rsid w:val="004C29AB"/>
    <w:rsid w:val="004C5BF3"/>
    <w:rsid w:val="004C6889"/>
    <w:rsid w:val="004D1A8F"/>
    <w:rsid w:val="004D3993"/>
    <w:rsid w:val="004D5A95"/>
    <w:rsid w:val="004E0129"/>
    <w:rsid w:val="004F4070"/>
    <w:rsid w:val="004F4C2C"/>
    <w:rsid w:val="00504DD7"/>
    <w:rsid w:val="005064DC"/>
    <w:rsid w:val="005151AB"/>
    <w:rsid w:val="00515CCD"/>
    <w:rsid w:val="0051601E"/>
    <w:rsid w:val="00516AE1"/>
    <w:rsid w:val="00517FDA"/>
    <w:rsid w:val="005203B7"/>
    <w:rsid w:val="00520C26"/>
    <w:rsid w:val="00522AF9"/>
    <w:rsid w:val="00526E66"/>
    <w:rsid w:val="005270E4"/>
    <w:rsid w:val="00531C91"/>
    <w:rsid w:val="0053230C"/>
    <w:rsid w:val="00535A11"/>
    <w:rsid w:val="00540598"/>
    <w:rsid w:val="00541DC2"/>
    <w:rsid w:val="00542C69"/>
    <w:rsid w:val="00542DF4"/>
    <w:rsid w:val="0054357D"/>
    <w:rsid w:val="0054585F"/>
    <w:rsid w:val="0054640E"/>
    <w:rsid w:val="00555FDD"/>
    <w:rsid w:val="00556984"/>
    <w:rsid w:val="0055727C"/>
    <w:rsid w:val="00562BD9"/>
    <w:rsid w:val="005639BD"/>
    <w:rsid w:val="00564730"/>
    <w:rsid w:val="00566A13"/>
    <w:rsid w:val="00567C43"/>
    <w:rsid w:val="005742B6"/>
    <w:rsid w:val="00575A72"/>
    <w:rsid w:val="005768E7"/>
    <w:rsid w:val="00576A3E"/>
    <w:rsid w:val="00591A44"/>
    <w:rsid w:val="005935CA"/>
    <w:rsid w:val="005B7CA2"/>
    <w:rsid w:val="005B7D91"/>
    <w:rsid w:val="005C000F"/>
    <w:rsid w:val="005C0332"/>
    <w:rsid w:val="005C6201"/>
    <w:rsid w:val="005D22EE"/>
    <w:rsid w:val="005D28A8"/>
    <w:rsid w:val="005D7205"/>
    <w:rsid w:val="005D7FBD"/>
    <w:rsid w:val="005E125C"/>
    <w:rsid w:val="005E20DB"/>
    <w:rsid w:val="005E5FA4"/>
    <w:rsid w:val="005F1CE2"/>
    <w:rsid w:val="005F289A"/>
    <w:rsid w:val="005F7DA3"/>
    <w:rsid w:val="00600060"/>
    <w:rsid w:val="006042F3"/>
    <w:rsid w:val="00605F23"/>
    <w:rsid w:val="00607D2F"/>
    <w:rsid w:val="00613D3E"/>
    <w:rsid w:val="006148F2"/>
    <w:rsid w:val="006162AB"/>
    <w:rsid w:val="0062413A"/>
    <w:rsid w:val="006305AA"/>
    <w:rsid w:val="00632252"/>
    <w:rsid w:val="006349A4"/>
    <w:rsid w:val="006439A9"/>
    <w:rsid w:val="0064492E"/>
    <w:rsid w:val="00650503"/>
    <w:rsid w:val="00653DBE"/>
    <w:rsid w:val="0065553D"/>
    <w:rsid w:val="006623CD"/>
    <w:rsid w:val="00665DBE"/>
    <w:rsid w:val="00670660"/>
    <w:rsid w:val="00670D6B"/>
    <w:rsid w:val="00672B5C"/>
    <w:rsid w:val="00672D25"/>
    <w:rsid w:val="006738F8"/>
    <w:rsid w:val="0067702D"/>
    <w:rsid w:val="006779DE"/>
    <w:rsid w:val="00682950"/>
    <w:rsid w:val="0069168D"/>
    <w:rsid w:val="00695437"/>
    <w:rsid w:val="0069575B"/>
    <w:rsid w:val="00696DED"/>
    <w:rsid w:val="006A1154"/>
    <w:rsid w:val="006A388A"/>
    <w:rsid w:val="006A4A0C"/>
    <w:rsid w:val="006A4ECE"/>
    <w:rsid w:val="006A5C98"/>
    <w:rsid w:val="006A60B0"/>
    <w:rsid w:val="006A6845"/>
    <w:rsid w:val="006A7AB4"/>
    <w:rsid w:val="006B538E"/>
    <w:rsid w:val="006B5589"/>
    <w:rsid w:val="006B5E22"/>
    <w:rsid w:val="006B7F21"/>
    <w:rsid w:val="006C0E2E"/>
    <w:rsid w:val="006C49F2"/>
    <w:rsid w:val="006C583F"/>
    <w:rsid w:val="006D0D2F"/>
    <w:rsid w:val="006D2F78"/>
    <w:rsid w:val="006E0FC3"/>
    <w:rsid w:val="006E37ED"/>
    <w:rsid w:val="006E7914"/>
    <w:rsid w:val="006F059A"/>
    <w:rsid w:val="006F0814"/>
    <w:rsid w:val="006F5B7A"/>
    <w:rsid w:val="006F6CF5"/>
    <w:rsid w:val="0072142A"/>
    <w:rsid w:val="00721493"/>
    <w:rsid w:val="007259F9"/>
    <w:rsid w:val="00725AC9"/>
    <w:rsid w:val="00731F40"/>
    <w:rsid w:val="007336FF"/>
    <w:rsid w:val="00735BD8"/>
    <w:rsid w:val="007365E1"/>
    <w:rsid w:val="00737945"/>
    <w:rsid w:val="007401D9"/>
    <w:rsid w:val="00742AD9"/>
    <w:rsid w:val="00746311"/>
    <w:rsid w:val="00746953"/>
    <w:rsid w:val="0074735B"/>
    <w:rsid w:val="00751478"/>
    <w:rsid w:val="0075493F"/>
    <w:rsid w:val="00755688"/>
    <w:rsid w:val="00761AF0"/>
    <w:rsid w:val="007636F0"/>
    <w:rsid w:val="0077236E"/>
    <w:rsid w:val="00775A4C"/>
    <w:rsid w:val="00777D8E"/>
    <w:rsid w:val="00786387"/>
    <w:rsid w:val="00786A35"/>
    <w:rsid w:val="00787C10"/>
    <w:rsid w:val="007914A9"/>
    <w:rsid w:val="007922A9"/>
    <w:rsid w:val="007941D4"/>
    <w:rsid w:val="00796D01"/>
    <w:rsid w:val="007A3AE9"/>
    <w:rsid w:val="007A6231"/>
    <w:rsid w:val="007A68A3"/>
    <w:rsid w:val="007A6F39"/>
    <w:rsid w:val="007A7003"/>
    <w:rsid w:val="007A7066"/>
    <w:rsid w:val="007B067E"/>
    <w:rsid w:val="007B2B77"/>
    <w:rsid w:val="007B720C"/>
    <w:rsid w:val="007C3424"/>
    <w:rsid w:val="007C539D"/>
    <w:rsid w:val="007C661D"/>
    <w:rsid w:val="007D0281"/>
    <w:rsid w:val="007D4BE5"/>
    <w:rsid w:val="007E0C13"/>
    <w:rsid w:val="007E3480"/>
    <w:rsid w:val="007E4263"/>
    <w:rsid w:val="007F469F"/>
    <w:rsid w:val="00800249"/>
    <w:rsid w:val="00800BAE"/>
    <w:rsid w:val="0080600E"/>
    <w:rsid w:val="008064DA"/>
    <w:rsid w:val="00807A52"/>
    <w:rsid w:val="008116ED"/>
    <w:rsid w:val="008250AB"/>
    <w:rsid w:val="008324C9"/>
    <w:rsid w:val="00832A8E"/>
    <w:rsid w:val="00833C05"/>
    <w:rsid w:val="0083452E"/>
    <w:rsid w:val="00836646"/>
    <w:rsid w:val="00837A13"/>
    <w:rsid w:val="00840A28"/>
    <w:rsid w:val="00845951"/>
    <w:rsid w:val="00845E7E"/>
    <w:rsid w:val="00847A70"/>
    <w:rsid w:val="008522B6"/>
    <w:rsid w:val="00856B2E"/>
    <w:rsid w:val="00857F0B"/>
    <w:rsid w:val="00867E62"/>
    <w:rsid w:val="008713AE"/>
    <w:rsid w:val="00872397"/>
    <w:rsid w:val="00872E40"/>
    <w:rsid w:val="0087592F"/>
    <w:rsid w:val="008759AF"/>
    <w:rsid w:val="00876B2B"/>
    <w:rsid w:val="00880931"/>
    <w:rsid w:val="0088332C"/>
    <w:rsid w:val="008862C3"/>
    <w:rsid w:val="008868C4"/>
    <w:rsid w:val="00891A36"/>
    <w:rsid w:val="00897BEC"/>
    <w:rsid w:val="008A3D69"/>
    <w:rsid w:val="008B04A8"/>
    <w:rsid w:val="008B05BE"/>
    <w:rsid w:val="008B2432"/>
    <w:rsid w:val="008B598F"/>
    <w:rsid w:val="008B7E6C"/>
    <w:rsid w:val="008C4395"/>
    <w:rsid w:val="008C4F1D"/>
    <w:rsid w:val="008C5714"/>
    <w:rsid w:val="008C7F30"/>
    <w:rsid w:val="008D42BE"/>
    <w:rsid w:val="008D501B"/>
    <w:rsid w:val="008D517B"/>
    <w:rsid w:val="008D57E0"/>
    <w:rsid w:val="008D7695"/>
    <w:rsid w:val="008E2006"/>
    <w:rsid w:val="008E44A7"/>
    <w:rsid w:val="008F6728"/>
    <w:rsid w:val="008F6B3F"/>
    <w:rsid w:val="008F76B7"/>
    <w:rsid w:val="00903879"/>
    <w:rsid w:val="00904B42"/>
    <w:rsid w:val="00907678"/>
    <w:rsid w:val="00910320"/>
    <w:rsid w:val="00916EAD"/>
    <w:rsid w:val="00920137"/>
    <w:rsid w:val="009233E0"/>
    <w:rsid w:val="00924081"/>
    <w:rsid w:val="009243C3"/>
    <w:rsid w:val="009268DE"/>
    <w:rsid w:val="00932A71"/>
    <w:rsid w:val="00933273"/>
    <w:rsid w:val="00937715"/>
    <w:rsid w:val="00944351"/>
    <w:rsid w:val="00947057"/>
    <w:rsid w:val="009605E2"/>
    <w:rsid w:val="009667E3"/>
    <w:rsid w:val="00967D24"/>
    <w:rsid w:val="009744FE"/>
    <w:rsid w:val="00974A52"/>
    <w:rsid w:val="00976C26"/>
    <w:rsid w:val="00983E75"/>
    <w:rsid w:val="00987D40"/>
    <w:rsid w:val="0099169E"/>
    <w:rsid w:val="00993217"/>
    <w:rsid w:val="009A2EC9"/>
    <w:rsid w:val="009B1427"/>
    <w:rsid w:val="009B2034"/>
    <w:rsid w:val="009B28DB"/>
    <w:rsid w:val="009B2DC4"/>
    <w:rsid w:val="009C2CB7"/>
    <w:rsid w:val="009C3135"/>
    <w:rsid w:val="009C62E8"/>
    <w:rsid w:val="009C7170"/>
    <w:rsid w:val="009D0617"/>
    <w:rsid w:val="009D1BE9"/>
    <w:rsid w:val="009D1E36"/>
    <w:rsid w:val="009D218D"/>
    <w:rsid w:val="009D3965"/>
    <w:rsid w:val="009D6909"/>
    <w:rsid w:val="009E13C5"/>
    <w:rsid w:val="009E46A5"/>
    <w:rsid w:val="009E78AB"/>
    <w:rsid w:val="009F015C"/>
    <w:rsid w:val="009F0219"/>
    <w:rsid w:val="009F0CFD"/>
    <w:rsid w:val="009F1E9F"/>
    <w:rsid w:val="009F2EDF"/>
    <w:rsid w:val="009F67B3"/>
    <w:rsid w:val="009F7101"/>
    <w:rsid w:val="00A00841"/>
    <w:rsid w:val="00A0225A"/>
    <w:rsid w:val="00A0510F"/>
    <w:rsid w:val="00A131D8"/>
    <w:rsid w:val="00A16D08"/>
    <w:rsid w:val="00A16F06"/>
    <w:rsid w:val="00A22C0F"/>
    <w:rsid w:val="00A230D5"/>
    <w:rsid w:val="00A3008F"/>
    <w:rsid w:val="00A31974"/>
    <w:rsid w:val="00A375CB"/>
    <w:rsid w:val="00A420B8"/>
    <w:rsid w:val="00A443A6"/>
    <w:rsid w:val="00A44A2E"/>
    <w:rsid w:val="00A52D8B"/>
    <w:rsid w:val="00A6271E"/>
    <w:rsid w:val="00A6365F"/>
    <w:rsid w:val="00A63B9D"/>
    <w:rsid w:val="00A6456C"/>
    <w:rsid w:val="00A7272C"/>
    <w:rsid w:val="00A72D50"/>
    <w:rsid w:val="00A74278"/>
    <w:rsid w:val="00A75418"/>
    <w:rsid w:val="00A7732D"/>
    <w:rsid w:val="00A77D66"/>
    <w:rsid w:val="00A81687"/>
    <w:rsid w:val="00A91E9B"/>
    <w:rsid w:val="00AA093E"/>
    <w:rsid w:val="00AA26C8"/>
    <w:rsid w:val="00AA5CE3"/>
    <w:rsid w:val="00AB476F"/>
    <w:rsid w:val="00AB79C9"/>
    <w:rsid w:val="00AC5132"/>
    <w:rsid w:val="00AC7BA0"/>
    <w:rsid w:val="00AD24A3"/>
    <w:rsid w:val="00AE6784"/>
    <w:rsid w:val="00AF386B"/>
    <w:rsid w:val="00AF5843"/>
    <w:rsid w:val="00B01D45"/>
    <w:rsid w:val="00B02F07"/>
    <w:rsid w:val="00B047D1"/>
    <w:rsid w:val="00B04817"/>
    <w:rsid w:val="00B065C3"/>
    <w:rsid w:val="00B135E7"/>
    <w:rsid w:val="00B212EE"/>
    <w:rsid w:val="00B23BEF"/>
    <w:rsid w:val="00B262B4"/>
    <w:rsid w:val="00B31630"/>
    <w:rsid w:val="00B32834"/>
    <w:rsid w:val="00B34389"/>
    <w:rsid w:val="00B40DE5"/>
    <w:rsid w:val="00B45B24"/>
    <w:rsid w:val="00B47081"/>
    <w:rsid w:val="00B514E5"/>
    <w:rsid w:val="00B600F2"/>
    <w:rsid w:val="00B62916"/>
    <w:rsid w:val="00B6647D"/>
    <w:rsid w:val="00B80BD9"/>
    <w:rsid w:val="00B82246"/>
    <w:rsid w:val="00B83EB4"/>
    <w:rsid w:val="00B84C96"/>
    <w:rsid w:val="00B84F70"/>
    <w:rsid w:val="00B874B6"/>
    <w:rsid w:val="00B9015D"/>
    <w:rsid w:val="00B92238"/>
    <w:rsid w:val="00B9247D"/>
    <w:rsid w:val="00B93258"/>
    <w:rsid w:val="00B95979"/>
    <w:rsid w:val="00B967AC"/>
    <w:rsid w:val="00B97B53"/>
    <w:rsid w:val="00BB05A3"/>
    <w:rsid w:val="00BB1EA1"/>
    <w:rsid w:val="00BB4569"/>
    <w:rsid w:val="00BC7B4E"/>
    <w:rsid w:val="00BD27E7"/>
    <w:rsid w:val="00BD362B"/>
    <w:rsid w:val="00BE376A"/>
    <w:rsid w:val="00BE4491"/>
    <w:rsid w:val="00C04EC5"/>
    <w:rsid w:val="00C0589A"/>
    <w:rsid w:val="00C07F51"/>
    <w:rsid w:val="00C13771"/>
    <w:rsid w:val="00C14ADF"/>
    <w:rsid w:val="00C14E65"/>
    <w:rsid w:val="00C219B8"/>
    <w:rsid w:val="00C23EDB"/>
    <w:rsid w:val="00C24DD8"/>
    <w:rsid w:val="00C33877"/>
    <w:rsid w:val="00C3738D"/>
    <w:rsid w:val="00C46EDC"/>
    <w:rsid w:val="00C5492A"/>
    <w:rsid w:val="00C55E2E"/>
    <w:rsid w:val="00C57878"/>
    <w:rsid w:val="00C60394"/>
    <w:rsid w:val="00C65784"/>
    <w:rsid w:val="00C74674"/>
    <w:rsid w:val="00C74C06"/>
    <w:rsid w:val="00C90E82"/>
    <w:rsid w:val="00C93112"/>
    <w:rsid w:val="00C94938"/>
    <w:rsid w:val="00C95AEC"/>
    <w:rsid w:val="00CA0EA8"/>
    <w:rsid w:val="00CA20F9"/>
    <w:rsid w:val="00CA3DE5"/>
    <w:rsid w:val="00CB60B0"/>
    <w:rsid w:val="00CC166F"/>
    <w:rsid w:val="00CC46FC"/>
    <w:rsid w:val="00CC7464"/>
    <w:rsid w:val="00CD1DBD"/>
    <w:rsid w:val="00CD625B"/>
    <w:rsid w:val="00CD79DA"/>
    <w:rsid w:val="00CE030C"/>
    <w:rsid w:val="00CE03C0"/>
    <w:rsid w:val="00CE120C"/>
    <w:rsid w:val="00CF08C6"/>
    <w:rsid w:val="00CF0C04"/>
    <w:rsid w:val="00CF1168"/>
    <w:rsid w:val="00CF376E"/>
    <w:rsid w:val="00CF41CC"/>
    <w:rsid w:val="00D00F80"/>
    <w:rsid w:val="00D03792"/>
    <w:rsid w:val="00D037D9"/>
    <w:rsid w:val="00D04D52"/>
    <w:rsid w:val="00D058BA"/>
    <w:rsid w:val="00D06229"/>
    <w:rsid w:val="00D07CD5"/>
    <w:rsid w:val="00D100B5"/>
    <w:rsid w:val="00D12EB2"/>
    <w:rsid w:val="00D15296"/>
    <w:rsid w:val="00D221D6"/>
    <w:rsid w:val="00D237F5"/>
    <w:rsid w:val="00D2395C"/>
    <w:rsid w:val="00D26FC2"/>
    <w:rsid w:val="00D272D0"/>
    <w:rsid w:val="00D376CE"/>
    <w:rsid w:val="00D40BB6"/>
    <w:rsid w:val="00D413EB"/>
    <w:rsid w:val="00D43B59"/>
    <w:rsid w:val="00D461BF"/>
    <w:rsid w:val="00D46D71"/>
    <w:rsid w:val="00D5026D"/>
    <w:rsid w:val="00D50CB7"/>
    <w:rsid w:val="00D50EF7"/>
    <w:rsid w:val="00D53602"/>
    <w:rsid w:val="00D5376E"/>
    <w:rsid w:val="00D6140A"/>
    <w:rsid w:val="00D64FEF"/>
    <w:rsid w:val="00D65DD3"/>
    <w:rsid w:val="00D67549"/>
    <w:rsid w:val="00D70441"/>
    <w:rsid w:val="00D74E2D"/>
    <w:rsid w:val="00D81B9F"/>
    <w:rsid w:val="00D84529"/>
    <w:rsid w:val="00D94970"/>
    <w:rsid w:val="00D959C8"/>
    <w:rsid w:val="00DA4985"/>
    <w:rsid w:val="00DB14E9"/>
    <w:rsid w:val="00DB1F3B"/>
    <w:rsid w:val="00DC7645"/>
    <w:rsid w:val="00DC77D0"/>
    <w:rsid w:val="00DD044B"/>
    <w:rsid w:val="00DD0AC9"/>
    <w:rsid w:val="00DD0EF8"/>
    <w:rsid w:val="00DD5721"/>
    <w:rsid w:val="00DD65F6"/>
    <w:rsid w:val="00DD748F"/>
    <w:rsid w:val="00DD78EC"/>
    <w:rsid w:val="00DD7B63"/>
    <w:rsid w:val="00DF01DA"/>
    <w:rsid w:val="00DF1A6A"/>
    <w:rsid w:val="00DF2073"/>
    <w:rsid w:val="00DF28A9"/>
    <w:rsid w:val="00DF6FD4"/>
    <w:rsid w:val="00DF7C30"/>
    <w:rsid w:val="00E03EF2"/>
    <w:rsid w:val="00E07549"/>
    <w:rsid w:val="00E141DD"/>
    <w:rsid w:val="00E14270"/>
    <w:rsid w:val="00E17B3E"/>
    <w:rsid w:val="00E25DB7"/>
    <w:rsid w:val="00E26185"/>
    <w:rsid w:val="00E26B1C"/>
    <w:rsid w:val="00E32F42"/>
    <w:rsid w:val="00E3668C"/>
    <w:rsid w:val="00E36A3A"/>
    <w:rsid w:val="00E37E63"/>
    <w:rsid w:val="00E448AB"/>
    <w:rsid w:val="00E4545D"/>
    <w:rsid w:val="00E525F5"/>
    <w:rsid w:val="00E637AA"/>
    <w:rsid w:val="00E65704"/>
    <w:rsid w:val="00E73410"/>
    <w:rsid w:val="00E772D9"/>
    <w:rsid w:val="00E8075B"/>
    <w:rsid w:val="00E82E91"/>
    <w:rsid w:val="00E82EB4"/>
    <w:rsid w:val="00E83EB9"/>
    <w:rsid w:val="00E8475C"/>
    <w:rsid w:val="00E850E4"/>
    <w:rsid w:val="00E869B9"/>
    <w:rsid w:val="00E91BE7"/>
    <w:rsid w:val="00E92238"/>
    <w:rsid w:val="00E957B8"/>
    <w:rsid w:val="00E964C2"/>
    <w:rsid w:val="00E96B93"/>
    <w:rsid w:val="00EA07D7"/>
    <w:rsid w:val="00EA133E"/>
    <w:rsid w:val="00EA29D1"/>
    <w:rsid w:val="00EB19E6"/>
    <w:rsid w:val="00EB3963"/>
    <w:rsid w:val="00EB4CFA"/>
    <w:rsid w:val="00EB5D39"/>
    <w:rsid w:val="00EC2370"/>
    <w:rsid w:val="00EC5DCC"/>
    <w:rsid w:val="00EC6AA2"/>
    <w:rsid w:val="00ED0C67"/>
    <w:rsid w:val="00ED5995"/>
    <w:rsid w:val="00EE1EB8"/>
    <w:rsid w:val="00EE2B3F"/>
    <w:rsid w:val="00EE6447"/>
    <w:rsid w:val="00EE6D37"/>
    <w:rsid w:val="00EF052F"/>
    <w:rsid w:val="00EF7242"/>
    <w:rsid w:val="00EF73DE"/>
    <w:rsid w:val="00F0123F"/>
    <w:rsid w:val="00F02847"/>
    <w:rsid w:val="00F044F4"/>
    <w:rsid w:val="00F24F80"/>
    <w:rsid w:val="00F259D0"/>
    <w:rsid w:val="00F27DB7"/>
    <w:rsid w:val="00F34604"/>
    <w:rsid w:val="00F36C5E"/>
    <w:rsid w:val="00F428B4"/>
    <w:rsid w:val="00F43A02"/>
    <w:rsid w:val="00F52B69"/>
    <w:rsid w:val="00F534E0"/>
    <w:rsid w:val="00F7161B"/>
    <w:rsid w:val="00F71AD4"/>
    <w:rsid w:val="00F77484"/>
    <w:rsid w:val="00F84F57"/>
    <w:rsid w:val="00F86C1C"/>
    <w:rsid w:val="00F90DAF"/>
    <w:rsid w:val="00F95BB2"/>
    <w:rsid w:val="00FA1259"/>
    <w:rsid w:val="00FA5363"/>
    <w:rsid w:val="00FA5BA1"/>
    <w:rsid w:val="00FA5BB2"/>
    <w:rsid w:val="00FA5CE2"/>
    <w:rsid w:val="00FA68CD"/>
    <w:rsid w:val="00FA7AC7"/>
    <w:rsid w:val="00FB14A3"/>
    <w:rsid w:val="00FC18C5"/>
    <w:rsid w:val="00FC245F"/>
    <w:rsid w:val="00FC276A"/>
    <w:rsid w:val="00FC3D66"/>
    <w:rsid w:val="00FC6498"/>
    <w:rsid w:val="00FD32C7"/>
    <w:rsid w:val="00FD4B8B"/>
    <w:rsid w:val="00FD513F"/>
    <w:rsid w:val="00FD6420"/>
    <w:rsid w:val="00FD6702"/>
    <w:rsid w:val="00FD7D82"/>
    <w:rsid w:val="00FE4E68"/>
    <w:rsid w:val="00FE73EE"/>
    <w:rsid w:val="00FF6319"/>
    <w:rsid w:val="00FF69DC"/>
    <w:rsid w:val="00FF78D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2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388A"/>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qFormat/>
    <w:rsid w:val="000825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qFormat/>
    <w:rsid w:val="00082528"/>
    <w:pPr>
      <w:keepNext/>
      <w:widowControl w:val="0"/>
      <w:tabs>
        <w:tab w:val="left" w:pos="0"/>
        <w:tab w:val="left" w:pos="900"/>
        <w:tab w:val="left" w:pos="1701"/>
        <w:tab w:val="left" w:pos="1800"/>
        <w:tab w:val="left" w:pos="2700"/>
        <w:tab w:val="left" w:pos="3600"/>
        <w:tab w:val="left" w:pos="4500"/>
        <w:tab w:val="left" w:pos="5400"/>
        <w:tab w:val="left" w:pos="6300"/>
        <w:tab w:val="left" w:pos="7200"/>
      </w:tabs>
      <w:spacing w:after="0" w:line="240" w:lineRule="auto"/>
      <w:ind w:right="-232"/>
      <w:jc w:val="center"/>
      <w:outlineLvl w:val="2"/>
    </w:pPr>
    <w:rPr>
      <w:rFonts w:ascii="Arial" w:eastAsia="Times New Roman" w:hAnsi="Arial" w:cs="Times New Roman"/>
      <w:b/>
      <w:snapToGrid w:val="0"/>
      <w:sz w:val="28"/>
      <w:szCs w:val="20"/>
      <w:lang w:eastAsia="pt-BR"/>
    </w:rPr>
  </w:style>
  <w:style w:type="paragraph" w:styleId="Ttulo5">
    <w:name w:val="heading 5"/>
    <w:basedOn w:val="Normal"/>
    <w:next w:val="Normal"/>
    <w:link w:val="Ttulo5Char"/>
    <w:uiPriority w:val="9"/>
    <w:semiHidden/>
    <w:unhideWhenUsed/>
    <w:qFormat/>
    <w:rsid w:val="00082528"/>
    <w:pPr>
      <w:keepNext/>
      <w:keepLines/>
      <w:spacing w:before="200" w:after="0"/>
      <w:outlineLvl w:val="4"/>
    </w:pPr>
    <w:rPr>
      <w:rFonts w:ascii="Cambria" w:eastAsia="Times New Roman" w:hAnsi="Cambria" w:cs="Times New Roman"/>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link w:val="IdentificaoChar"/>
    <w:rsid w:val="00F7161B"/>
    <w:pPr>
      <w:spacing w:before="0" w:after="0"/>
    </w:pPr>
  </w:style>
  <w:style w:type="paragraph" w:customStyle="1" w:styleId="ementa">
    <w:name w:val="ementa"/>
    <w:basedOn w:val="Pargrafo"/>
    <w:link w:val="ementaChar"/>
    <w:rsid w:val="002331F7"/>
    <w:pPr>
      <w:ind w:firstLine="0"/>
    </w:pPr>
  </w:style>
  <w:style w:type="paragraph" w:customStyle="1" w:styleId="Pargrafo">
    <w:name w:val="Parágrafo"/>
    <w:basedOn w:val="Normal"/>
    <w:link w:val="PargrafoChar"/>
    <w:qFormat/>
    <w:rsid w:val="00F7161B"/>
    <w:pPr>
      <w:spacing w:before="120" w:after="120" w:line="240" w:lineRule="auto"/>
      <w:ind w:firstLine="1418"/>
      <w:jc w:val="both"/>
    </w:pPr>
    <w:rPr>
      <w:rFonts w:ascii="Arial" w:eastAsia="Times New Roman" w:hAnsi="Arial" w:cs="Times New Roman"/>
      <w:szCs w:val="24"/>
      <w:lang w:eastAsia="pt-BR"/>
    </w:rPr>
  </w:style>
  <w:style w:type="paragraph" w:customStyle="1" w:styleId="centralizar">
    <w:name w:val="centralizar"/>
    <w:basedOn w:val="Pargrafo"/>
    <w:next w:val="Pargrafo"/>
    <w:link w:val="centralizarChar"/>
    <w:rsid w:val="00F7161B"/>
    <w:pPr>
      <w:spacing w:before="360" w:after="360"/>
      <w:ind w:firstLine="0"/>
      <w:jc w:val="center"/>
    </w:pPr>
    <w:rPr>
      <w:b/>
    </w:rPr>
  </w:style>
  <w:style w:type="paragraph" w:customStyle="1" w:styleId="Transcrio">
    <w:name w:val="Transcrição"/>
    <w:basedOn w:val="Pargrafo"/>
    <w:link w:val="TranscrioChar"/>
    <w:qFormat/>
    <w:rsid w:val="00F7161B"/>
    <w:pPr>
      <w:spacing w:before="60" w:after="60"/>
      <w:ind w:left="2268" w:firstLine="0"/>
    </w:pPr>
    <w:rPr>
      <w:i/>
    </w:rPr>
  </w:style>
  <w:style w:type="paragraph" w:styleId="Cabealho">
    <w:name w:val="header"/>
    <w:basedOn w:val="Normal"/>
    <w:link w:val="CabealhoChar"/>
    <w:uiPriority w:val="99"/>
    <w:rsid w:val="002331F7"/>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paragraph" w:customStyle="1" w:styleId="transcrio2">
    <w:name w:val="transcrição 2"/>
    <w:basedOn w:val="Transcrio"/>
    <w:link w:val="transcrio2Char"/>
    <w:rsid w:val="00F7161B"/>
    <w:pPr>
      <w:ind w:left="2835"/>
    </w:pPr>
  </w:style>
  <w:style w:type="paragraph" w:customStyle="1" w:styleId="transcrio3">
    <w:name w:val="transcrição 3"/>
    <w:basedOn w:val="Identificao"/>
    <w:rsid w:val="00F7161B"/>
    <w:pPr>
      <w:ind w:left="3686"/>
    </w:pPr>
    <w:rPr>
      <w:i/>
      <w:iCs/>
    </w:rPr>
  </w:style>
  <w:style w:type="paragraph" w:customStyle="1" w:styleId="transcrio4">
    <w:name w:val="transcrição 4"/>
    <w:basedOn w:val="transcrio3"/>
    <w:rsid w:val="00F7161B"/>
    <w:pPr>
      <w:ind w:left="4536"/>
    </w:pPr>
  </w:style>
  <w:style w:type="paragraph" w:customStyle="1" w:styleId="assinatura">
    <w:name w:val="assinatura"/>
    <w:basedOn w:val="Pargrafo"/>
    <w:rsid w:val="00F7161B"/>
    <w:pPr>
      <w:spacing w:before="0" w:after="0"/>
      <w:ind w:firstLine="0"/>
      <w:jc w:val="center"/>
    </w:pPr>
  </w:style>
  <w:style w:type="paragraph" w:customStyle="1" w:styleId="Pargrafo2">
    <w:name w:val="Parágrafo 2"/>
    <w:basedOn w:val="Pargrafo"/>
    <w:link w:val="Pargrafo2Char1"/>
    <w:rsid w:val="00F7161B"/>
    <w:pPr>
      <w:spacing w:line="480" w:lineRule="auto"/>
    </w:pPr>
  </w:style>
  <w:style w:type="paragraph" w:styleId="Rodap">
    <w:name w:val="footer"/>
    <w:basedOn w:val="Normal"/>
    <w:link w:val="RodapChar"/>
    <w:uiPriority w:val="99"/>
    <w:rsid w:val="002331F7"/>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rsid w:val="005C000F"/>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5C000F"/>
    <w:rPr>
      <w:rFonts w:ascii="Tahoma" w:hAnsi="Tahoma" w:cs="Tahoma"/>
      <w:sz w:val="16"/>
      <w:szCs w:val="16"/>
    </w:rPr>
  </w:style>
  <w:style w:type="character" w:customStyle="1" w:styleId="RodapChar">
    <w:name w:val="Rodapé Char"/>
    <w:basedOn w:val="Fontepargpadro"/>
    <w:link w:val="Rodap"/>
    <w:uiPriority w:val="99"/>
    <w:rsid w:val="006A388A"/>
    <w:rPr>
      <w:sz w:val="24"/>
      <w:szCs w:val="24"/>
    </w:rPr>
  </w:style>
  <w:style w:type="character" w:customStyle="1" w:styleId="PargrafoChar">
    <w:name w:val="Parágrafo Char"/>
    <w:basedOn w:val="Fontepargpadro"/>
    <w:link w:val="Pargrafo"/>
    <w:locked/>
    <w:rsid w:val="006A388A"/>
    <w:rPr>
      <w:rFonts w:ascii="Arial" w:hAnsi="Arial"/>
      <w:sz w:val="22"/>
      <w:szCs w:val="24"/>
    </w:rPr>
  </w:style>
  <w:style w:type="character" w:customStyle="1" w:styleId="ementaChar">
    <w:name w:val="ementa Char"/>
    <w:basedOn w:val="PargrafoChar"/>
    <w:link w:val="ementa"/>
    <w:locked/>
    <w:rsid w:val="006A388A"/>
  </w:style>
  <w:style w:type="character" w:styleId="Refdenotaderodap">
    <w:name w:val="footnote reference"/>
    <w:basedOn w:val="Fontepargpadro"/>
    <w:rsid w:val="006A388A"/>
    <w:rPr>
      <w:vertAlign w:val="superscript"/>
    </w:rPr>
  </w:style>
  <w:style w:type="character" w:customStyle="1" w:styleId="IdentificaoChar">
    <w:name w:val="Identificação Char"/>
    <w:basedOn w:val="Fontepargpadro"/>
    <w:link w:val="Identificao"/>
    <w:locked/>
    <w:rsid w:val="00FA5363"/>
    <w:rPr>
      <w:rFonts w:ascii="Arial" w:hAnsi="Arial"/>
      <w:sz w:val="22"/>
      <w:szCs w:val="24"/>
    </w:rPr>
  </w:style>
  <w:style w:type="character" w:customStyle="1" w:styleId="TranscrioChar">
    <w:name w:val="Transcrição Char"/>
    <w:basedOn w:val="PargrafoChar"/>
    <w:link w:val="Transcrio"/>
    <w:rsid w:val="00FA5363"/>
    <w:rPr>
      <w:i/>
    </w:rPr>
  </w:style>
  <w:style w:type="character" w:styleId="Forte">
    <w:name w:val="Strong"/>
    <w:basedOn w:val="Fontepargpadro"/>
    <w:qFormat/>
    <w:rsid w:val="00FA5363"/>
    <w:rPr>
      <w:b/>
      <w:bCs/>
    </w:rPr>
  </w:style>
  <w:style w:type="paragraph" w:styleId="Textodenotaderodap">
    <w:name w:val="footnote text"/>
    <w:basedOn w:val="Normal"/>
    <w:link w:val="TextodenotaderodapChar"/>
    <w:unhideWhenUsed/>
    <w:rsid w:val="00A0510F"/>
    <w:pPr>
      <w:spacing w:after="0" w:line="240" w:lineRule="auto"/>
    </w:pPr>
    <w:rPr>
      <w:sz w:val="20"/>
      <w:szCs w:val="20"/>
    </w:rPr>
  </w:style>
  <w:style w:type="character" w:customStyle="1" w:styleId="TextodenotaderodapChar">
    <w:name w:val="Texto de nota de rodapé Char"/>
    <w:basedOn w:val="Fontepargpadro"/>
    <w:link w:val="Textodenotaderodap"/>
    <w:rsid w:val="00A0510F"/>
    <w:rPr>
      <w:rFonts w:asciiTheme="minorHAnsi" w:eastAsiaTheme="minorHAnsi" w:hAnsiTheme="minorHAnsi" w:cstheme="minorBidi"/>
      <w:lang w:eastAsia="en-US"/>
    </w:rPr>
  </w:style>
  <w:style w:type="character" w:customStyle="1" w:styleId="headertext">
    <w:name w:val="headertext"/>
    <w:basedOn w:val="Fontepargpadro"/>
    <w:rsid w:val="00A0510F"/>
  </w:style>
  <w:style w:type="character" w:customStyle="1" w:styleId="hlhilite">
    <w:name w:val="hl hilite"/>
    <w:basedOn w:val="Fontepargpadro"/>
    <w:rsid w:val="00A0510F"/>
  </w:style>
  <w:style w:type="character" w:customStyle="1" w:styleId="centralizarChar">
    <w:name w:val="centralizar Char"/>
    <w:basedOn w:val="Fontepargpadro"/>
    <w:link w:val="centralizar"/>
    <w:rsid w:val="0039364C"/>
    <w:rPr>
      <w:rFonts w:ascii="Arial" w:hAnsi="Arial"/>
      <w:b/>
      <w:sz w:val="22"/>
      <w:szCs w:val="24"/>
    </w:rPr>
  </w:style>
  <w:style w:type="character" w:customStyle="1" w:styleId="Pargrafo2Char1">
    <w:name w:val="Parágrafo 2 Char1"/>
    <w:basedOn w:val="Fontepargpadro"/>
    <w:link w:val="Pargrafo2"/>
    <w:rsid w:val="0039364C"/>
    <w:rPr>
      <w:rFonts w:ascii="Arial" w:hAnsi="Arial"/>
      <w:sz w:val="22"/>
      <w:szCs w:val="24"/>
    </w:rPr>
  </w:style>
  <w:style w:type="character" w:styleId="nfase">
    <w:name w:val="Emphasis"/>
    <w:basedOn w:val="Fontepargpadro"/>
    <w:qFormat/>
    <w:rsid w:val="00B83EB4"/>
    <w:rPr>
      <w:i/>
      <w:iCs/>
    </w:rPr>
  </w:style>
  <w:style w:type="character" w:customStyle="1" w:styleId="CabealhoChar">
    <w:name w:val="Cabeçalho Char"/>
    <w:basedOn w:val="Fontepargpadro"/>
    <w:link w:val="Cabealho"/>
    <w:uiPriority w:val="99"/>
    <w:rsid w:val="00C94938"/>
    <w:rPr>
      <w:sz w:val="24"/>
      <w:szCs w:val="24"/>
    </w:rPr>
  </w:style>
  <w:style w:type="paragraph" w:styleId="TextosemFormatao">
    <w:name w:val="Plain Text"/>
    <w:basedOn w:val="Normal"/>
    <w:link w:val="TextosemFormataoChar"/>
    <w:uiPriority w:val="99"/>
    <w:unhideWhenUsed/>
    <w:rsid w:val="009B1427"/>
    <w:pPr>
      <w:spacing w:after="0" w:line="240" w:lineRule="auto"/>
    </w:pPr>
    <w:rPr>
      <w:rFonts w:ascii="Consolas" w:eastAsia="Calibri" w:hAnsi="Consolas" w:cs="Times New Roman"/>
      <w:sz w:val="21"/>
      <w:szCs w:val="21"/>
    </w:rPr>
  </w:style>
  <w:style w:type="character" w:customStyle="1" w:styleId="TextosemFormataoChar">
    <w:name w:val="Texto sem Formatação Char"/>
    <w:basedOn w:val="Fontepargpadro"/>
    <w:link w:val="TextosemFormatao"/>
    <w:uiPriority w:val="99"/>
    <w:rsid w:val="009B1427"/>
    <w:rPr>
      <w:rFonts w:ascii="Consolas" w:eastAsia="Calibri" w:hAnsi="Consolas"/>
      <w:sz w:val="21"/>
      <w:szCs w:val="21"/>
      <w:lang w:eastAsia="en-US"/>
    </w:rPr>
  </w:style>
  <w:style w:type="paragraph" w:styleId="Corpodetexto">
    <w:name w:val="Body Text"/>
    <w:basedOn w:val="Normal"/>
    <w:link w:val="CorpodetextoChar"/>
    <w:rsid w:val="009B1427"/>
    <w:pPr>
      <w:widowControl w:val="0"/>
      <w:tabs>
        <w:tab w:val="left" w:pos="0"/>
        <w:tab w:val="left" w:pos="900"/>
        <w:tab w:val="left" w:pos="1700"/>
        <w:tab w:val="left" w:pos="2700"/>
        <w:tab w:val="left" w:pos="3600"/>
        <w:tab w:val="left" w:pos="4500"/>
        <w:tab w:val="left" w:pos="5400"/>
        <w:tab w:val="left" w:pos="6300"/>
        <w:tab w:val="left" w:pos="7200"/>
      </w:tabs>
      <w:spacing w:after="0" w:line="360" w:lineRule="auto"/>
      <w:jc w:val="both"/>
    </w:pPr>
    <w:rPr>
      <w:rFonts w:ascii="Arial" w:eastAsia="Times New Roman" w:hAnsi="Arial" w:cs="Times New Roman"/>
      <w:snapToGrid w:val="0"/>
      <w:sz w:val="24"/>
      <w:szCs w:val="20"/>
      <w:lang w:eastAsia="pt-BR"/>
    </w:rPr>
  </w:style>
  <w:style w:type="character" w:customStyle="1" w:styleId="CorpodetextoChar">
    <w:name w:val="Corpo de texto Char"/>
    <w:basedOn w:val="Fontepargpadro"/>
    <w:link w:val="Corpodetexto"/>
    <w:rsid w:val="009B1427"/>
    <w:rPr>
      <w:rFonts w:ascii="Arial" w:hAnsi="Arial"/>
      <w:snapToGrid w:val="0"/>
      <w:sz w:val="24"/>
    </w:rPr>
  </w:style>
  <w:style w:type="character" w:customStyle="1" w:styleId="apple-converted-space">
    <w:name w:val="apple-converted-space"/>
    <w:basedOn w:val="Fontepargpadro"/>
    <w:rsid w:val="009B1427"/>
  </w:style>
  <w:style w:type="character" w:styleId="Hyperlink">
    <w:name w:val="Hyperlink"/>
    <w:basedOn w:val="Fontepargpadro"/>
    <w:unhideWhenUsed/>
    <w:rsid w:val="00EF7242"/>
    <w:rPr>
      <w:color w:val="0000FF"/>
      <w:u w:val="single"/>
    </w:rPr>
  </w:style>
  <w:style w:type="character" w:customStyle="1" w:styleId="Ttulo1Char">
    <w:name w:val="Título 1 Char"/>
    <w:basedOn w:val="Fontepargpadro"/>
    <w:link w:val="Ttulo1"/>
    <w:rsid w:val="00082528"/>
    <w:rPr>
      <w:rFonts w:asciiTheme="majorHAnsi" w:eastAsiaTheme="majorEastAsia" w:hAnsiTheme="majorHAnsi" w:cstheme="majorBidi"/>
      <w:b/>
      <w:bCs/>
      <w:color w:val="365F91" w:themeColor="accent1" w:themeShade="BF"/>
      <w:sz w:val="28"/>
      <w:szCs w:val="28"/>
      <w:lang w:eastAsia="en-US"/>
    </w:rPr>
  </w:style>
  <w:style w:type="character" w:customStyle="1" w:styleId="Ttulo3Char">
    <w:name w:val="Título 3 Char"/>
    <w:basedOn w:val="Fontepargpadro"/>
    <w:link w:val="Ttulo3"/>
    <w:uiPriority w:val="9"/>
    <w:rsid w:val="00082528"/>
    <w:rPr>
      <w:rFonts w:ascii="Arial" w:hAnsi="Arial"/>
      <w:b/>
      <w:snapToGrid w:val="0"/>
      <w:sz w:val="28"/>
    </w:rPr>
  </w:style>
  <w:style w:type="character" w:customStyle="1" w:styleId="Ttulo5Char">
    <w:name w:val="Título 5 Char"/>
    <w:basedOn w:val="Fontepargpadro"/>
    <w:link w:val="Ttulo5"/>
    <w:uiPriority w:val="9"/>
    <w:semiHidden/>
    <w:rsid w:val="00082528"/>
    <w:rPr>
      <w:rFonts w:ascii="Cambria" w:hAnsi="Cambria"/>
      <w:color w:val="243F60"/>
      <w:sz w:val="22"/>
      <w:szCs w:val="22"/>
      <w:lang w:eastAsia="en-US"/>
    </w:rPr>
  </w:style>
  <w:style w:type="paragraph" w:styleId="NormalWeb">
    <w:name w:val="Normal (Web)"/>
    <w:basedOn w:val="Normal"/>
    <w:uiPriority w:val="99"/>
    <w:rsid w:val="00082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1">
    <w:name w:val="texto1"/>
    <w:basedOn w:val="Normal"/>
    <w:rsid w:val="00082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2">
    <w:name w:val="texto2"/>
    <w:basedOn w:val="Normal"/>
    <w:rsid w:val="0008252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ranscrio2Char">
    <w:name w:val="transcrição 2 Char"/>
    <w:basedOn w:val="TranscrioChar"/>
    <w:link w:val="transcrio2"/>
    <w:rsid w:val="00082528"/>
    <w:rPr>
      <w:i/>
    </w:rPr>
  </w:style>
  <w:style w:type="character" w:customStyle="1" w:styleId="TextodenotaderodapChar1">
    <w:name w:val="Texto de nota de rodapé Char1"/>
    <w:basedOn w:val="Fontepargpadro"/>
    <w:rsid w:val="00082528"/>
    <w:rPr>
      <w:rFonts w:ascii="Arial" w:hAnsi="Arial"/>
      <w:sz w:val="22"/>
      <w:lang w:val="pt-BR" w:eastAsia="pt-BR" w:bidi="ar-SA"/>
    </w:rPr>
  </w:style>
  <w:style w:type="paragraph" w:customStyle="1" w:styleId="pargrafo0">
    <w:name w:val="pargrafo"/>
    <w:basedOn w:val="Normal"/>
    <w:rsid w:val="00082528"/>
    <w:pPr>
      <w:spacing w:before="60" w:after="60" w:line="360" w:lineRule="auto"/>
      <w:ind w:firstLine="709"/>
      <w:jc w:val="both"/>
    </w:pPr>
    <w:rPr>
      <w:rFonts w:ascii="Arial" w:eastAsia="Times New Roman" w:hAnsi="Arial" w:cs="Arial"/>
      <w:spacing w:val="20"/>
      <w:lang w:eastAsia="pt-BR"/>
    </w:rPr>
  </w:style>
  <w:style w:type="paragraph" w:customStyle="1" w:styleId="Pargraforecolhidosimples">
    <w:name w:val="Parágrafo recolhido simples"/>
    <w:basedOn w:val="Normal"/>
    <w:next w:val="Normal"/>
    <w:rsid w:val="00082528"/>
    <w:pPr>
      <w:tabs>
        <w:tab w:val="left" w:pos="851"/>
        <w:tab w:val="left" w:pos="2552"/>
        <w:tab w:val="left" w:pos="3402"/>
        <w:tab w:val="left" w:pos="4253"/>
        <w:tab w:val="left" w:pos="5103"/>
        <w:tab w:val="left" w:pos="5954"/>
        <w:tab w:val="left" w:pos="6804"/>
      </w:tabs>
      <w:spacing w:after="0" w:line="360" w:lineRule="auto"/>
      <w:ind w:left="1701" w:firstLine="618"/>
      <w:jc w:val="both"/>
    </w:pPr>
    <w:rPr>
      <w:rFonts w:ascii="Courier New" w:eastAsia="Times New Roman" w:hAnsi="Courier New" w:cs="Times New Roman"/>
      <w:sz w:val="20"/>
      <w:szCs w:val="24"/>
      <w:lang w:eastAsia="pt-BR"/>
    </w:rPr>
  </w:style>
  <w:style w:type="paragraph" w:customStyle="1" w:styleId="Pargraforecolhidoduplo">
    <w:name w:val="Parágrafo recolhido duplo"/>
    <w:basedOn w:val="Normal"/>
    <w:next w:val="Normal"/>
    <w:rsid w:val="00082528"/>
    <w:pPr>
      <w:tabs>
        <w:tab w:val="left" w:pos="851"/>
        <w:tab w:val="left" w:pos="2552"/>
        <w:tab w:val="left" w:pos="3402"/>
        <w:tab w:val="left" w:pos="4253"/>
        <w:tab w:val="left" w:pos="5103"/>
        <w:tab w:val="left" w:pos="5954"/>
        <w:tab w:val="left" w:pos="6804"/>
      </w:tabs>
      <w:spacing w:after="0" w:line="360" w:lineRule="auto"/>
      <w:ind w:left="1701" w:right="1701" w:firstLine="1134"/>
      <w:jc w:val="both"/>
    </w:pPr>
    <w:rPr>
      <w:rFonts w:ascii="Courier New" w:eastAsia="Times New Roman" w:hAnsi="Courier New" w:cs="Times New Roman"/>
      <w:sz w:val="20"/>
      <w:szCs w:val="24"/>
      <w:lang w:eastAsia="pt-BR"/>
    </w:rPr>
  </w:style>
  <w:style w:type="character" w:customStyle="1" w:styleId="t1">
    <w:name w:val="t1"/>
    <w:basedOn w:val="Fontepargpadro"/>
    <w:rsid w:val="00082528"/>
  </w:style>
  <w:style w:type="character" w:styleId="HiperlinkVisitado">
    <w:name w:val="FollowedHyperlink"/>
    <w:basedOn w:val="Fontepargpadro"/>
    <w:uiPriority w:val="99"/>
    <w:unhideWhenUsed/>
    <w:rsid w:val="00082528"/>
    <w:rPr>
      <w:color w:val="800080"/>
      <w:u w:val="single"/>
    </w:rPr>
  </w:style>
  <w:style w:type="paragraph" w:customStyle="1" w:styleId="p9">
    <w:name w:val="p9"/>
    <w:basedOn w:val="Normal"/>
    <w:rsid w:val="00082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5">
    <w:name w:val="p5"/>
    <w:basedOn w:val="Normal"/>
    <w:rsid w:val="00082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13">
    <w:name w:val="p13"/>
    <w:basedOn w:val="Normal"/>
    <w:rsid w:val="00082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nfo">
    <w:name w:val="info"/>
    <w:basedOn w:val="Normal"/>
    <w:rsid w:val="00082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nippet">
    <w:name w:val="snippet"/>
    <w:basedOn w:val="Normal"/>
    <w:rsid w:val="00082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dentificao0">
    <w:name w:val="identificao"/>
    <w:basedOn w:val="Normal"/>
    <w:rsid w:val="002F42F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2E49DA"/>
    <w:pPr>
      <w:spacing w:after="120" w:line="480" w:lineRule="auto"/>
    </w:pPr>
  </w:style>
  <w:style w:type="character" w:customStyle="1" w:styleId="Corpodetexto2Char">
    <w:name w:val="Corpo de texto 2 Char"/>
    <w:basedOn w:val="Fontepargpadro"/>
    <w:link w:val="Corpodetexto2"/>
    <w:rsid w:val="002E49DA"/>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10104939">
      <w:bodyDiv w:val="1"/>
      <w:marLeft w:val="0"/>
      <w:marRight w:val="0"/>
      <w:marTop w:val="0"/>
      <w:marBottom w:val="0"/>
      <w:divBdr>
        <w:top w:val="none" w:sz="0" w:space="0" w:color="auto"/>
        <w:left w:val="none" w:sz="0" w:space="0" w:color="auto"/>
        <w:bottom w:val="none" w:sz="0" w:space="0" w:color="auto"/>
        <w:right w:val="none" w:sz="0" w:space="0" w:color="auto"/>
      </w:divBdr>
    </w:div>
    <w:div w:id="99759263">
      <w:bodyDiv w:val="1"/>
      <w:marLeft w:val="0"/>
      <w:marRight w:val="0"/>
      <w:marTop w:val="0"/>
      <w:marBottom w:val="0"/>
      <w:divBdr>
        <w:top w:val="none" w:sz="0" w:space="0" w:color="auto"/>
        <w:left w:val="none" w:sz="0" w:space="0" w:color="auto"/>
        <w:bottom w:val="none" w:sz="0" w:space="0" w:color="auto"/>
        <w:right w:val="none" w:sz="0" w:space="0" w:color="auto"/>
      </w:divBdr>
    </w:div>
    <w:div w:id="501552071">
      <w:bodyDiv w:val="1"/>
      <w:marLeft w:val="0"/>
      <w:marRight w:val="0"/>
      <w:marTop w:val="0"/>
      <w:marBottom w:val="0"/>
      <w:divBdr>
        <w:top w:val="none" w:sz="0" w:space="0" w:color="auto"/>
        <w:left w:val="none" w:sz="0" w:space="0" w:color="auto"/>
        <w:bottom w:val="none" w:sz="0" w:space="0" w:color="auto"/>
        <w:right w:val="none" w:sz="0" w:space="0" w:color="auto"/>
      </w:divBdr>
    </w:div>
    <w:div w:id="1204176966">
      <w:bodyDiv w:val="1"/>
      <w:marLeft w:val="0"/>
      <w:marRight w:val="0"/>
      <w:marTop w:val="0"/>
      <w:marBottom w:val="0"/>
      <w:divBdr>
        <w:top w:val="none" w:sz="0" w:space="0" w:color="auto"/>
        <w:left w:val="none" w:sz="0" w:space="0" w:color="auto"/>
        <w:bottom w:val="none" w:sz="0" w:space="0" w:color="auto"/>
        <w:right w:val="none" w:sz="0" w:space="0" w:color="auto"/>
      </w:divBdr>
    </w:div>
    <w:div w:id="1394693985">
      <w:bodyDiv w:val="1"/>
      <w:marLeft w:val="0"/>
      <w:marRight w:val="0"/>
      <w:marTop w:val="0"/>
      <w:marBottom w:val="0"/>
      <w:divBdr>
        <w:top w:val="none" w:sz="0" w:space="0" w:color="auto"/>
        <w:left w:val="none" w:sz="0" w:space="0" w:color="auto"/>
        <w:bottom w:val="none" w:sz="0" w:space="0" w:color="auto"/>
        <w:right w:val="none" w:sz="0" w:space="0" w:color="auto"/>
      </w:divBdr>
    </w:div>
    <w:div w:id="1713652951">
      <w:bodyDiv w:val="1"/>
      <w:marLeft w:val="0"/>
      <w:marRight w:val="0"/>
      <w:marTop w:val="0"/>
      <w:marBottom w:val="0"/>
      <w:divBdr>
        <w:top w:val="none" w:sz="0" w:space="0" w:color="auto"/>
        <w:left w:val="none" w:sz="0" w:space="0" w:color="auto"/>
        <w:bottom w:val="none" w:sz="0" w:space="0" w:color="auto"/>
        <w:right w:val="none" w:sz="0" w:space="0" w:color="auto"/>
      </w:divBdr>
    </w:div>
    <w:div w:id="200022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B67D2-6F96-46A4-9E84-7D4111571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7</Pages>
  <Words>2728</Words>
  <Characters>14987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trf1</Company>
  <LinksUpToDate>false</LinksUpToDate>
  <CharactersWithSpaces>17680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ju106</dc:creator>
  <cp:lastModifiedBy>ju106</cp:lastModifiedBy>
  <cp:revision>35</cp:revision>
  <cp:lastPrinted>2020-12-09T15:24:00Z</cp:lastPrinted>
  <dcterms:created xsi:type="dcterms:W3CDTF">2020-12-09T12:53:00Z</dcterms:created>
  <dcterms:modified xsi:type="dcterms:W3CDTF">2020-12-09T15:26:00Z</dcterms:modified>
</cp:coreProperties>
</file>