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D1" w:rsidRPr="00566776" w:rsidRDefault="007D15D1" w:rsidP="007D15D1">
      <w:pPr>
        <w:pStyle w:val="Identificao"/>
        <w:rPr>
          <w:rFonts w:eastAsia="MS Mincho" w:cs="Arial"/>
          <w:b/>
          <w:szCs w:val="22"/>
        </w:rPr>
      </w:pPr>
    </w:p>
    <w:p w:rsidR="00512502" w:rsidRPr="00566776" w:rsidRDefault="00512502" w:rsidP="007D15D1">
      <w:pPr>
        <w:pStyle w:val="Identificao"/>
        <w:rPr>
          <w:rFonts w:eastAsia="MS Mincho" w:cs="Arial"/>
          <w:b/>
          <w:szCs w:val="22"/>
        </w:rPr>
      </w:pPr>
      <w:r w:rsidRPr="00566776">
        <w:rPr>
          <w:rFonts w:eastAsia="MS Mincho" w:cs="Arial"/>
          <w:b/>
          <w:szCs w:val="22"/>
        </w:rPr>
        <w:t xml:space="preserve">PEDIDO DE UNIFORMIZAÇÃO DE JURISPRUDÊNCIA Nº. </w:t>
      </w:r>
      <w:r w:rsidR="008763F0" w:rsidRPr="00566776">
        <w:rPr>
          <w:rFonts w:eastAsia="MS Mincho" w:cs="Arial"/>
          <w:b/>
          <w:szCs w:val="22"/>
        </w:rPr>
        <w:t>0014314</w:t>
      </w:r>
      <w:r w:rsidRPr="00566776">
        <w:rPr>
          <w:rFonts w:eastAsia="MS Mincho" w:cs="Arial"/>
          <w:b/>
          <w:szCs w:val="22"/>
        </w:rPr>
        <w:t>-</w:t>
      </w:r>
      <w:r w:rsidR="003E301D" w:rsidRPr="00566776">
        <w:rPr>
          <w:rFonts w:eastAsia="MS Mincho" w:cs="Arial"/>
          <w:b/>
          <w:szCs w:val="22"/>
        </w:rPr>
        <w:t>72</w:t>
      </w:r>
      <w:r w:rsidRPr="00566776">
        <w:rPr>
          <w:rFonts w:eastAsia="MS Mincho" w:cs="Arial"/>
          <w:b/>
          <w:szCs w:val="22"/>
        </w:rPr>
        <w:t>.20</w:t>
      </w:r>
      <w:r w:rsidR="00AB637F" w:rsidRPr="00566776">
        <w:rPr>
          <w:rFonts w:eastAsia="MS Mincho" w:cs="Arial"/>
          <w:b/>
          <w:szCs w:val="22"/>
        </w:rPr>
        <w:t>1</w:t>
      </w:r>
      <w:r w:rsidR="00E0137A" w:rsidRPr="00566776">
        <w:rPr>
          <w:rFonts w:eastAsia="MS Mincho" w:cs="Arial"/>
          <w:b/>
          <w:szCs w:val="22"/>
        </w:rPr>
        <w:t>7</w:t>
      </w:r>
      <w:r w:rsidRPr="00566776">
        <w:rPr>
          <w:rFonts w:eastAsia="MS Mincho" w:cs="Arial"/>
          <w:b/>
          <w:szCs w:val="22"/>
        </w:rPr>
        <w:t>.4.01.</w:t>
      </w:r>
      <w:r w:rsidR="00842AEF" w:rsidRPr="00566776">
        <w:rPr>
          <w:rFonts w:eastAsia="MS Mincho" w:cs="Arial"/>
          <w:b/>
          <w:szCs w:val="22"/>
        </w:rPr>
        <w:t>3</w:t>
      </w:r>
      <w:r w:rsidR="003A4F80" w:rsidRPr="00566776">
        <w:rPr>
          <w:rFonts w:eastAsia="MS Mincho" w:cs="Arial"/>
          <w:b/>
          <w:szCs w:val="22"/>
        </w:rPr>
        <w:t>400</w:t>
      </w:r>
      <w:r w:rsidRPr="00566776">
        <w:rPr>
          <w:rFonts w:eastAsia="MS Mincho" w:cs="Arial"/>
          <w:b/>
          <w:szCs w:val="22"/>
        </w:rPr>
        <w:t>/</w:t>
      </w:r>
      <w:r w:rsidR="003A4F80" w:rsidRPr="00566776">
        <w:rPr>
          <w:rFonts w:eastAsia="MS Mincho" w:cs="Arial"/>
          <w:b/>
          <w:szCs w:val="22"/>
        </w:rPr>
        <w:t>DF</w:t>
      </w:r>
    </w:p>
    <w:tbl>
      <w:tblPr>
        <w:tblW w:w="98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200"/>
        <w:gridCol w:w="6375"/>
        <w:gridCol w:w="1225"/>
      </w:tblGrid>
      <w:tr w:rsidR="00512502" w:rsidRPr="00566776" w:rsidTr="00AD257E">
        <w:trPr>
          <w:gridAfter w:val="1"/>
          <w:wAfter w:w="1225" w:type="dxa"/>
        </w:trPr>
        <w:tc>
          <w:tcPr>
            <w:tcW w:w="20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RELATOR(A)</w:t>
            </w:r>
          </w:p>
        </w:tc>
        <w:tc>
          <w:tcPr>
            <w:tcW w:w="2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6375" w:type="dxa"/>
            <w:shd w:val="clear" w:color="auto" w:fill="auto"/>
          </w:tcPr>
          <w:p w:rsidR="00512502" w:rsidRPr="00566776" w:rsidRDefault="000467F1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 xml:space="preserve">JUIZ FEDERAL </w:t>
            </w:r>
            <w:r w:rsidR="00346C40" w:rsidRPr="00566776">
              <w:rPr>
                <w:rFonts w:cs="Arial"/>
                <w:b/>
                <w:szCs w:val="22"/>
              </w:rPr>
              <w:t>MARCELO CARVALHO CAVALCANTE DE OLIVEIRA</w:t>
            </w:r>
            <w:r w:rsidR="00512502" w:rsidRPr="00566776">
              <w:rPr>
                <w:rFonts w:cs="Arial"/>
                <w:b/>
                <w:szCs w:val="22"/>
              </w:rPr>
              <w:t xml:space="preserve"> </w:t>
            </w:r>
          </w:p>
        </w:tc>
      </w:tr>
      <w:tr w:rsidR="00512502" w:rsidRPr="00566776" w:rsidTr="00AD257E">
        <w:tc>
          <w:tcPr>
            <w:tcW w:w="20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RECORRENTE</w:t>
            </w:r>
          </w:p>
        </w:tc>
        <w:tc>
          <w:tcPr>
            <w:tcW w:w="2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7600" w:type="dxa"/>
            <w:gridSpan w:val="2"/>
            <w:shd w:val="clear" w:color="auto" w:fill="auto"/>
          </w:tcPr>
          <w:p w:rsidR="00512502" w:rsidRPr="00566776" w:rsidRDefault="00BE0F86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UNIÃO FEDERAL</w:t>
            </w:r>
          </w:p>
        </w:tc>
      </w:tr>
      <w:tr w:rsidR="00512502" w:rsidRPr="00566776" w:rsidTr="00AD257E">
        <w:tc>
          <w:tcPr>
            <w:tcW w:w="2000" w:type="dxa"/>
            <w:shd w:val="clear" w:color="auto" w:fill="auto"/>
          </w:tcPr>
          <w:p w:rsidR="00512502" w:rsidRPr="00566776" w:rsidRDefault="00BE0F86" w:rsidP="00BE0F86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PROCURADOR</w:t>
            </w:r>
          </w:p>
        </w:tc>
        <w:tc>
          <w:tcPr>
            <w:tcW w:w="2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7600" w:type="dxa"/>
            <w:gridSpan w:val="2"/>
            <w:shd w:val="clear" w:color="auto" w:fill="auto"/>
          </w:tcPr>
          <w:p w:rsidR="00512502" w:rsidRPr="00566776" w:rsidRDefault="00BE0F86" w:rsidP="00BE0F86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ADVOCACIA-GERAL DA UNIÃO</w:t>
            </w:r>
          </w:p>
        </w:tc>
      </w:tr>
      <w:tr w:rsidR="00512502" w:rsidRPr="00566776" w:rsidTr="00AD257E">
        <w:tc>
          <w:tcPr>
            <w:tcW w:w="20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RECORRIDO</w:t>
            </w:r>
            <w:r w:rsidR="003A4F80" w:rsidRPr="00566776">
              <w:rPr>
                <w:rFonts w:cs="Arial"/>
                <w:b/>
                <w:szCs w:val="22"/>
              </w:rPr>
              <w:t>(A)</w:t>
            </w:r>
          </w:p>
          <w:p w:rsidR="003A4F80" w:rsidRPr="00566776" w:rsidRDefault="00BE0F86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ADVOGADO(A)</w:t>
            </w:r>
          </w:p>
        </w:tc>
        <w:tc>
          <w:tcPr>
            <w:tcW w:w="200" w:type="dxa"/>
            <w:shd w:val="clear" w:color="auto" w:fill="auto"/>
          </w:tcPr>
          <w:p w:rsidR="00512502" w:rsidRPr="00566776" w:rsidRDefault="00512502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:</w:t>
            </w:r>
          </w:p>
          <w:p w:rsidR="003A4F80" w:rsidRPr="00566776" w:rsidRDefault="003A4F80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7600" w:type="dxa"/>
            <w:gridSpan w:val="2"/>
            <w:shd w:val="clear" w:color="auto" w:fill="auto"/>
          </w:tcPr>
          <w:p w:rsidR="00512502" w:rsidRPr="00566776" w:rsidRDefault="00C07033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ALZINETE DA SILVA SANTOS</w:t>
            </w:r>
          </w:p>
          <w:p w:rsidR="003A4F80" w:rsidRPr="00566776" w:rsidRDefault="00BE0F86" w:rsidP="007D15D1">
            <w:pPr>
              <w:pStyle w:val="Identificao"/>
              <w:rPr>
                <w:rFonts w:cs="Arial"/>
                <w:b/>
                <w:szCs w:val="22"/>
              </w:rPr>
            </w:pPr>
            <w:r w:rsidRPr="00566776">
              <w:rPr>
                <w:rFonts w:cs="Arial"/>
                <w:b/>
                <w:szCs w:val="22"/>
              </w:rPr>
              <w:t>DF 1599A – GERALDO MAGELA HERMOGENES DA SILVA</w:t>
            </w:r>
          </w:p>
        </w:tc>
      </w:tr>
    </w:tbl>
    <w:p w:rsidR="00512502" w:rsidRPr="00566776" w:rsidRDefault="00512502" w:rsidP="007D15D1">
      <w:pPr>
        <w:pStyle w:val="Ttulo3"/>
        <w:tabs>
          <w:tab w:val="left" w:pos="2268"/>
        </w:tabs>
        <w:spacing w:before="480" w:after="240" w:line="240" w:lineRule="auto"/>
        <w:rPr>
          <w:bCs w:val="0"/>
          <w:sz w:val="22"/>
          <w:szCs w:val="22"/>
        </w:rPr>
      </w:pPr>
      <w:r w:rsidRPr="00566776">
        <w:rPr>
          <w:bCs w:val="0"/>
          <w:sz w:val="22"/>
          <w:szCs w:val="22"/>
        </w:rPr>
        <w:t>RELAT</w:t>
      </w:r>
      <w:r w:rsidR="007D15D1" w:rsidRPr="00566776">
        <w:rPr>
          <w:bCs w:val="0"/>
          <w:sz w:val="22"/>
          <w:szCs w:val="22"/>
        </w:rPr>
        <w:t>Ó</w:t>
      </w:r>
      <w:r w:rsidRPr="00566776">
        <w:rPr>
          <w:bCs w:val="0"/>
          <w:sz w:val="22"/>
          <w:szCs w:val="22"/>
        </w:rPr>
        <w:t>RIO</w:t>
      </w:r>
    </w:p>
    <w:p w:rsidR="00512502" w:rsidRPr="00566776" w:rsidRDefault="00512502" w:rsidP="007D15D1">
      <w:pPr>
        <w:spacing w:before="120" w:after="120" w:line="240" w:lineRule="auto"/>
        <w:rPr>
          <w:rFonts w:ascii="Arial" w:hAnsi="Arial" w:cs="Arial"/>
          <w:b/>
        </w:rPr>
      </w:pPr>
    </w:p>
    <w:p w:rsidR="00E0137A" w:rsidRPr="00566776" w:rsidRDefault="00E0137A" w:rsidP="00566776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>Trata</w:t>
      </w:r>
      <w:r w:rsidR="00995D0F" w:rsidRPr="00566776">
        <w:rPr>
          <w:rFonts w:ascii="Arial" w:hAnsi="Arial" w:cs="Arial"/>
        </w:rPr>
        <w:t>-se</w:t>
      </w:r>
      <w:r w:rsidRPr="00566776">
        <w:rPr>
          <w:rFonts w:ascii="Arial" w:hAnsi="Arial" w:cs="Arial"/>
        </w:rPr>
        <w:t xml:space="preserve"> de Pedido de Uniformização </w:t>
      </w:r>
      <w:r w:rsidR="00B92D7B" w:rsidRPr="00566776">
        <w:rPr>
          <w:rFonts w:ascii="Arial" w:hAnsi="Arial" w:cs="Arial"/>
        </w:rPr>
        <w:t>apresentado</w:t>
      </w:r>
      <w:r w:rsidRPr="00566776">
        <w:rPr>
          <w:rFonts w:ascii="Arial" w:hAnsi="Arial" w:cs="Arial"/>
        </w:rPr>
        <w:t xml:space="preserve"> </w:t>
      </w:r>
      <w:r w:rsidR="00BE0F86" w:rsidRPr="00566776">
        <w:rPr>
          <w:rFonts w:ascii="Arial" w:hAnsi="Arial" w:cs="Arial"/>
        </w:rPr>
        <w:t>pela União</w:t>
      </w:r>
      <w:r w:rsidR="00007052" w:rsidRPr="00566776">
        <w:rPr>
          <w:rFonts w:ascii="Arial" w:hAnsi="Arial" w:cs="Arial"/>
        </w:rPr>
        <w:t xml:space="preserve"> </w:t>
      </w:r>
      <w:r w:rsidRPr="00566776">
        <w:rPr>
          <w:rFonts w:ascii="Arial" w:hAnsi="Arial" w:cs="Arial"/>
        </w:rPr>
        <w:t xml:space="preserve">contra acórdão da </w:t>
      </w:r>
      <w:r w:rsidR="00BE0F86" w:rsidRPr="00566776">
        <w:rPr>
          <w:rFonts w:ascii="Arial" w:hAnsi="Arial" w:cs="Arial"/>
        </w:rPr>
        <w:t>3</w:t>
      </w:r>
      <w:r w:rsidRPr="00566776">
        <w:rPr>
          <w:rFonts w:ascii="Arial" w:hAnsi="Arial" w:cs="Arial"/>
        </w:rPr>
        <w:t>ª Turma Recursal da Seção Judiciária do Distrito Federal que</w:t>
      </w:r>
      <w:r w:rsidR="0062136D" w:rsidRPr="00566776">
        <w:rPr>
          <w:rFonts w:ascii="Arial" w:hAnsi="Arial" w:cs="Arial"/>
        </w:rPr>
        <w:t xml:space="preserve"> negou provimento ao Recurso Inominado interposto, mantendo a </w:t>
      </w:r>
      <w:r w:rsidR="00D968E4" w:rsidRPr="00566776">
        <w:rPr>
          <w:rFonts w:ascii="Arial" w:hAnsi="Arial" w:cs="Arial"/>
        </w:rPr>
        <w:t xml:space="preserve">conclusão de procedência </w:t>
      </w:r>
      <w:r w:rsidR="000F4089" w:rsidRPr="00566776">
        <w:rPr>
          <w:rFonts w:ascii="Arial" w:hAnsi="Arial" w:cs="Arial"/>
        </w:rPr>
        <w:t>do p</w:t>
      </w:r>
      <w:r w:rsidR="0042662D" w:rsidRPr="00566776">
        <w:rPr>
          <w:rFonts w:ascii="Arial" w:hAnsi="Arial" w:cs="Arial"/>
        </w:rPr>
        <w:t xml:space="preserve">edido de </w:t>
      </w:r>
      <w:r w:rsidRPr="00566776">
        <w:rPr>
          <w:rFonts w:ascii="Arial" w:hAnsi="Arial" w:cs="Arial"/>
        </w:rPr>
        <w:t>reenquadramento</w:t>
      </w:r>
      <w:r w:rsidR="00D37B65" w:rsidRPr="00566776">
        <w:rPr>
          <w:rFonts w:ascii="Arial" w:hAnsi="Arial" w:cs="Arial"/>
        </w:rPr>
        <w:t xml:space="preserve"> funcional</w:t>
      </w:r>
      <w:r w:rsidRPr="00566776">
        <w:rPr>
          <w:rFonts w:ascii="Arial" w:hAnsi="Arial" w:cs="Arial"/>
        </w:rPr>
        <w:t xml:space="preserve"> d</w:t>
      </w:r>
      <w:r w:rsidR="007378B2" w:rsidRPr="00566776">
        <w:rPr>
          <w:rFonts w:ascii="Arial" w:hAnsi="Arial" w:cs="Arial"/>
        </w:rPr>
        <w:t>a</w:t>
      </w:r>
      <w:r w:rsidRPr="00566776">
        <w:rPr>
          <w:rFonts w:ascii="Arial" w:hAnsi="Arial" w:cs="Arial"/>
        </w:rPr>
        <w:t xml:space="preserve"> recor</w:t>
      </w:r>
      <w:r w:rsidR="0042662D" w:rsidRPr="00566776">
        <w:rPr>
          <w:rFonts w:ascii="Arial" w:hAnsi="Arial" w:cs="Arial"/>
        </w:rPr>
        <w:t>rid</w:t>
      </w:r>
      <w:r w:rsidR="007378B2" w:rsidRPr="00566776">
        <w:rPr>
          <w:rFonts w:ascii="Arial" w:hAnsi="Arial" w:cs="Arial"/>
        </w:rPr>
        <w:t>a</w:t>
      </w:r>
      <w:r w:rsidR="00EC1D4E" w:rsidRPr="00566776">
        <w:rPr>
          <w:rFonts w:ascii="Arial" w:hAnsi="Arial" w:cs="Arial"/>
        </w:rPr>
        <w:t xml:space="preserve">, </w:t>
      </w:r>
      <w:r w:rsidRPr="00566776">
        <w:rPr>
          <w:rFonts w:ascii="Arial" w:hAnsi="Arial" w:cs="Arial"/>
        </w:rPr>
        <w:t>servidor</w:t>
      </w:r>
      <w:r w:rsidR="007378B2" w:rsidRPr="00566776">
        <w:rPr>
          <w:rFonts w:ascii="Arial" w:hAnsi="Arial" w:cs="Arial"/>
        </w:rPr>
        <w:t xml:space="preserve">a </w:t>
      </w:r>
      <w:r w:rsidRPr="00566776">
        <w:rPr>
          <w:rFonts w:ascii="Arial" w:hAnsi="Arial" w:cs="Arial"/>
        </w:rPr>
        <w:t xml:space="preserve">da Comissão Executiva do Plano da Lavoura Cacaueira </w:t>
      </w:r>
      <w:r w:rsidR="00F07C03" w:rsidRPr="00566776">
        <w:rPr>
          <w:rFonts w:ascii="Arial" w:hAnsi="Arial" w:cs="Arial"/>
        </w:rPr>
        <w:t>–</w:t>
      </w:r>
      <w:r w:rsidRPr="00566776">
        <w:rPr>
          <w:rFonts w:ascii="Arial" w:hAnsi="Arial" w:cs="Arial"/>
        </w:rPr>
        <w:t xml:space="preserve"> CEPLAC</w:t>
      </w:r>
      <w:r w:rsidR="00F07C03" w:rsidRPr="00566776">
        <w:rPr>
          <w:rFonts w:ascii="Arial" w:hAnsi="Arial" w:cs="Arial"/>
        </w:rPr>
        <w:t>,</w:t>
      </w:r>
      <w:r w:rsidRPr="00566776">
        <w:rPr>
          <w:rFonts w:ascii="Arial" w:hAnsi="Arial" w:cs="Arial"/>
        </w:rPr>
        <w:t xml:space="preserve"> </w:t>
      </w:r>
      <w:r w:rsidR="004F1C4F" w:rsidRPr="00566776">
        <w:rPr>
          <w:rFonts w:ascii="Arial" w:hAnsi="Arial" w:cs="Arial"/>
        </w:rPr>
        <w:t>na</w:t>
      </w:r>
      <w:r w:rsidR="006048D5" w:rsidRPr="00566776">
        <w:rPr>
          <w:rFonts w:ascii="Arial" w:hAnsi="Arial" w:cs="Arial"/>
        </w:rPr>
        <w:t xml:space="preserve">s </w:t>
      </w:r>
      <w:r w:rsidRPr="00566776">
        <w:rPr>
          <w:rFonts w:ascii="Arial" w:hAnsi="Arial" w:cs="Arial"/>
        </w:rPr>
        <w:t>carreira</w:t>
      </w:r>
      <w:r w:rsidR="006048D5" w:rsidRPr="00566776">
        <w:rPr>
          <w:rFonts w:ascii="Arial" w:hAnsi="Arial" w:cs="Arial"/>
        </w:rPr>
        <w:t>s</w:t>
      </w:r>
      <w:r w:rsidRPr="00566776">
        <w:rPr>
          <w:rFonts w:ascii="Arial" w:hAnsi="Arial" w:cs="Arial"/>
        </w:rPr>
        <w:t xml:space="preserve"> de Ciência e Tecnologia</w:t>
      </w:r>
      <w:r w:rsidR="000C375B" w:rsidRPr="00566776">
        <w:rPr>
          <w:rFonts w:ascii="Arial" w:hAnsi="Arial" w:cs="Arial"/>
        </w:rPr>
        <w:t xml:space="preserve"> e</w:t>
      </w:r>
      <w:r w:rsidR="003F2F3E">
        <w:rPr>
          <w:rFonts w:ascii="Arial" w:hAnsi="Arial" w:cs="Arial"/>
        </w:rPr>
        <w:t xml:space="preserve"> a</w:t>
      </w:r>
      <w:r w:rsidR="00636DA8" w:rsidRPr="00566776">
        <w:rPr>
          <w:rFonts w:ascii="Arial" w:hAnsi="Arial" w:cs="Arial"/>
        </w:rPr>
        <w:t xml:space="preserve"> condenação do mencionado ente público ao </w:t>
      </w:r>
      <w:r w:rsidR="000C375B" w:rsidRPr="00566776">
        <w:rPr>
          <w:rFonts w:ascii="Arial" w:hAnsi="Arial" w:cs="Arial"/>
        </w:rPr>
        <w:t>pagamento dos correspondentes reflexos financeiros</w:t>
      </w:r>
      <w:r w:rsidR="009C6F56" w:rsidRPr="00566776">
        <w:rPr>
          <w:rFonts w:ascii="Arial" w:hAnsi="Arial" w:cs="Arial"/>
        </w:rPr>
        <w:t>.</w:t>
      </w:r>
    </w:p>
    <w:p w:rsidR="00E0137A" w:rsidRPr="00566776" w:rsidRDefault="00E0137A" w:rsidP="00566776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 xml:space="preserve">Alega </w:t>
      </w:r>
      <w:r w:rsidR="00BE0F86" w:rsidRPr="00566776">
        <w:rPr>
          <w:rFonts w:ascii="Arial" w:hAnsi="Arial" w:cs="Arial"/>
        </w:rPr>
        <w:t>a</w:t>
      </w:r>
      <w:r w:rsidRPr="00566776">
        <w:rPr>
          <w:rFonts w:ascii="Arial" w:hAnsi="Arial" w:cs="Arial"/>
        </w:rPr>
        <w:t xml:space="preserve"> recorrente divergência </w:t>
      </w:r>
      <w:r w:rsidR="00907439">
        <w:rPr>
          <w:rFonts w:ascii="Arial" w:hAnsi="Arial" w:cs="Arial"/>
        </w:rPr>
        <w:t>entre o</w:t>
      </w:r>
      <w:r w:rsidRPr="00566776">
        <w:rPr>
          <w:rFonts w:ascii="Arial" w:hAnsi="Arial" w:cs="Arial"/>
        </w:rPr>
        <w:t xml:space="preserve"> entendimento </w:t>
      </w:r>
      <w:r w:rsidR="008E3D72">
        <w:rPr>
          <w:rFonts w:ascii="Arial" w:hAnsi="Arial" w:cs="Arial"/>
        </w:rPr>
        <w:t xml:space="preserve">firmado no acórdão recorrido e o </w:t>
      </w:r>
      <w:r w:rsidRPr="00566776">
        <w:rPr>
          <w:rFonts w:ascii="Arial" w:hAnsi="Arial" w:cs="Arial"/>
        </w:rPr>
        <w:t xml:space="preserve">que foi decidido nos autos do </w:t>
      </w:r>
      <w:r w:rsidR="00DE068B" w:rsidRPr="00566776">
        <w:rPr>
          <w:rFonts w:ascii="Arial" w:hAnsi="Arial" w:cs="Arial"/>
        </w:rPr>
        <w:t>Recurso Inominado</w:t>
      </w:r>
      <w:r w:rsidR="00AD6FD1" w:rsidRPr="00566776">
        <w:rPr>
          <w:rFonts w:ascii="Arial" w:hAnsi="Arial" w:cs="Arial"/>
        </w:rPr>
        <w:t xml:space="preserve"> 0012599</w:t>
      </w:r>
      <w:r w:rsidR="002B32C2" w:rsidRPr="00566776">
        <w:rPr>
          <w:rFonts w:ascii="Arial" w:hAnsi="Arial" w:cs="Arial"/>
        </w:rPr>
        <w:t>-</w:t>
      </w:r>
      <w:r w:rsidR="00F5741C" w:rsidRPr="00566776">
        <w:rPr>
          <w:rFonts w:ascii="Arial" w:hAnsi="Arial" w:cs="Arial"/>
        </w:rPr>
        <w:t>92</w:t>
      </w:r>
      <w:r w:rsidR="002B32C2" w:rsidRPr="00566776">
        <w:rPr>
          <w:rFonts w:ascii="Arial" w:hAnsi="Arial" w:cs="Arial"/>
        </w:rPr>
        <w:t>.201</w:t>
      </w:r>
      <w:r w:rsidR="00F5741C" w:rsidRPr="00566776">
        <w:rPr>
          <w:rFonts w:ascii="Arial" w:hAnsi="Arial" w:cs="Arial"/>
        </w:rPr>
        <w:t>7</w:t>
      </w:r>
      <w:r w:rsidR="002B32C2" w:rsidRPr="00566776">
        <w:rPr>
          <w:rFonts w:ascii="Arial" w:hAnsi="Arial" w:cs="Arial"/>
        </w:rPr>
        <w:t>.4.01.3400</w:t>
      </w:r>
      <w:r w:rsidR="005549C6">
        <w:rPr>
          <w:rFonts w:ascii="Arial" w:hAnsi="Arial" w:cs="Arial"/>
        </w:rPr>
        <w:t xml:space="preserve"> </w:t>
      </w:r>
      <w:r w:rsidRPr="00566776">
        <w:rPr>
          <w:rFonts w:ascii="Arial" w:hAnsi="Arial" w:cs="Arial"/>
        </w:rPr>
        <w:t xml:space="preserve">da </w:t>
      </w:r>
      <w:r w:rsidR="00BE0F86" w:rsidRPr="00566776">
        <w:rPr>
          <w:rFonts w:ascii="Arial" w:hAnsi="Arial" w:cs="Arial"/>
        </w:rPr>
        <w:t>1</w:t>
      </w:r>
      <w:r w:rsidRPr="00566776">
        <w:rPr>
          <w:rFonts w:ascii="Arial" w:hAnsi="Arial" w:cs="Arial"/>
        </w:rPr>
        <w:t>ª</w:t>
      </w:r>
      <w:r w:rsidR="002B32C2" w:rsidRPr="00566776">
        <w:rPr>
          <w:rFonts w:ascii="Arial" w:hAnsi="Arial" w:cs="Arial"/>
        </w:rPr>
        <w:t xml:space="preserve"> </w:t>
      </w:r>
      <w:r w:rsidRPr="00566776">
        <w:rPr>
          <w:rFonts w:ascii="Arial" w:hAnsi="Arial" w:cs="Arial"/>
        </w:rPr>
        <w:t>TR/DF</w:t>
      </w:r>
      <w:r w:rsidR="00F8511C" w:rsidRPr="00566776">
        <w:rPr>
          <w:rFonts w:ascii="Arial" w:hAnsi="Arial" w:cs="Arial"/>
        </w:rPr>
        <w:t xml:space="preserve">, que, </w:t>
      </w:r>
      <w:r w:rsidR="00DE068B" w:rsidRPr="00566776">
        <w:rPr>
          <w:rFonts w:ascii="Arial" w:hAnsi="Arial" w:cs="Arial"/>
        </w:rPr>
        <w:t xml:space="preserve">ao fundamento de violação ao disposto </w:t>
      </w:r>
      <w:r w:rsidR="00C136C8" w:rsidRPr="00566776">
        <w:rPr>
          <w:rFonts w:ascii="Arial" w:hAnsi="Arial" w:cs="Arial"/>
        </w:rPr>
        <w:t xml:space="preserve">no art. 37, II, da Constituição Federal </w:t>
      </w:r>
      <w:r w:rsidR="00C01CC7" w:rsidRPr="00566776">
        <w:rPr>
          <w:rFonts w:ascii="Arial" w:hAnsi="Arial" w:cs="Arial"/>
        </w:rPr>
        <w:t xml:space="preserve">e na Súmula </w:t>
      </w:r>
      <w:r w:rsidR="00F24E36" w:rsidRPr="00566776">
        <w:rPr>
          <w:rFonts w:ascii="Arial" w:hAnsi="Arial" w:cs="Arial"/>
        </w:rPr>
        <w:t xml:space="preserve">43 do STF, </w:t>
      </w:r>
      <w:r w:rsidR="00C4745F" w:rsidRPr="00566776">
        <w:rPr>
          <w:rFonts w:ascii="Arial" w:hAnsi="Arial" w:cs="Arial"/>
        </w:rPr>
        <w:t xml:space="preserve">entendeu pela impossibilidade </w:t>
      </w:r>
      <w:r w:rsidR="00591D19" w:rsidRPr="00566776">
        <w:rPr>
          <w:rFonts w:ascii="Arial" w:hAnsi="Arial" w:cs="Arial"/>
        </w:rPr>
        <w:t>de a</w:t>
      </w:r>
      <w:r w:rsidR="004D2E18" w:rsidRPr="00566776">
        <w:rPr>
          <w:rFonts w:ascii="Arial" w:hAnsi="Arial" w:cs="Arial"/>
        </w:rPr>
        <w:t xml:space="preserve"> parte autora realizar a opção </w:t>
      </w:r>
      <w:r w:rsidR="00235307" w:rsidRPr="00566776">
        <w:rPr>
          <w:rFonts w:ascii="Arial" w:hAnsi="Arial" w:cs="Arial"/>
        </w:rPr>
        <w:t>de integrar carreira da área de Ciência e Tecnologia</w:t>
      </w:r>
      <w:r w:rsidR="00582E55" w:rsidRPr="00566776">
        <w:rPr>
          <w:rFonts w:ascii="Arial" w:hAnsi="Arial" w:cs="Arial"/>
        </w:rPr>
        <w:t>.</w:t>
      </w:r>
    </w:p>
    <w:p w:rsidR="00E0137A" w:rsidRDefault="006B240A" w:rsidP="000A1404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E0F86" w:rsidRPr="00566776">
        <w:rPr>
          <w:rFonts w:ascii="Arial" w:hAnsi="Arial" w:cs="Arial"/>
        </w:rPr>
        <w:t>ontrarrazões</w:t>
      </w:r>
      <w:r>
        <w:rPr>
          <w:rFonts w:ascii="Arial" w:hAnsi="Arial" w:cs="Arial"/>
        </w:rPr>
        <w:t xml:space="preserve"> apresentadas, às fls</w:t>
      </w:r>
      <w:r w:rsidR="00783A41">
        <w:rPr>
          <w:rFonts w:ascii="Arial" w:hAnsi="Arial" w:cs="Arial"/>
        </w:rPr>
        <w:t xml:space="preserve">. </w:t>
      </w:r>
      <w:r w:rsidR="00213DD0">
        <w:rPr>
          <w:rFonts w:ascii="Arial" w:hAnsi="Arial" w:cs="Arial"/>
        </w:rPr>
        <w:t>145</w:t>
      </w:r>
      <w:r w:rsidR="000A1404">
        <w:rPr>
          <w:rFonts w:ascii="Arial" w:hAnsi="Arial" w:cs="Arial"/>
        </w:rPr>
        <w:t>/165</w:t>
      </w:r>
      <w:r w:rsidR="00C71165" w:rsidRPr="00566776">
        <w:rPr>
          <w:rFonts w:ascii="Arial" w:hAnsi="Arial" w:cs="Arial"/>
        </w:rPr>
        <w:t xml:space="preserve">. </w:t>
      </w:r>
    </w:p>
    <w:p w:rsidR="00BB1FCF" w:rsidRPr="00566776" w:rsidRDefault="00BB1FCF" w:rsidP="000A1404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Decisão de admissão </w:t>
      </w:r>
      <w:r w:rsidR="00584A4A">
        <w:rPr>
          <w:rFonts w:ascii="Arial" w:hAnsi="Arial" w:cs="Arial"/>
        </w:rPr>
        <w:t xml:space="preserve">do Pedido de Uniformização de Jurisprudência </w:t>
      </w:r>
      <w:r w:rsidR="002931FE">
        <w:rPr>
          <w:rFonts w:ascii="Arial" w:hAnsi="Arial" w:cs="Arial"/>
        </w:rPr>
        <w:t>(fls.166/168).</w:t>
      </w:r>
    </w:p>
    <w:p w:rsidR="00E0137A" w:rsidRPr="00566776" w:rsidRDefault="00E0137A" w:rsidP="00E0137A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>É o relatório.</w:t>
      </w:r>
    </w:p>
    <w:p w:rsidR="00E0137A" w:rsidRPr="00566776" w:rsidRDefault="00E0137A" w:rsidP="00E0137A">
      <w:pPr>
        <w:spacing w:before="120" w:after="120" w:line="240" w:lineRule="auto"/>
        <w:ind w:firstLine="1134"/>
        <w:jc w:val="both"/>
        <w:rPr>
          <w:rFonts w:ascii="Arial" w:hAnsi="Arial" w:cs="Arial"/>
        </w:rPr>
      </w:pPr>
    </w:p>
    <w:p w:rsidR="00512502" w:rsidRPr="00566776" w:rsidRDefault="00512502" w:rsidP="007D15D1">
      <w:pPr>
        <w:spacing w:before="120" w:after="120" w:line="240" w:lineRule="auto"/>
        <w:ind w:firstLine="1080"/>
        <w:jc w:val="both"/>
        <w:rPr>
          <w:rFonts w:ascii="Arial" w:hAnsi="Arial" w:cs="Arial"/>
        </w:rPr>
      </w:pPr>
    </w:p>
    <w:p w:rsidR="00512502" w:rsidRPr="00566776" w:rsidRDefault="00512502" w:rsidP="007D15D1">
      <w:pPr>
        <w:spacing w:before="120" w:after="120" w:line="240" w:lineRule="auto"/>
        <w:ind w:firstLine="3402"/>
        <w:jc w:val="both"/>
        <w:rPr>
          <w:rFonts w:ascii="Arial" w:hAnsi="Arial" w:cs="Arial"/>
          <w:b/>
        </w:rPr>
      </w:pPr>
      <w:r w:rsidRPr="00566776">
        <w:rPr>
          <w:rFonts w:ascii="Arial" w:hAnsi="Arial" w:cs="Arial"/>
          <w:b/>
        </w:rPr>
        <w:t>VOTO - EMENTA</w:t>
      </w:r>
    </w:p>
    <w:p w:rsidR="00512502" w:rsidRPr="00566776" w:rsidRDefault="00512502" w:rsidP="007D15D1">
      <w:pPr>
        <w:spacing w:before="120" w:after="120" w:line="240" w:lineRule="auto"/>
        <w:ind w:firstLine="3402"/>
        <w:jc w:val="both"/>
        <w:rPr>
          <w:rFonts w:ascii="Arial" w:hAnsi="Arial" w:cs="Arial"/>
          <w:b/>
        </w:rPr>
      </w:pPr>
    </w:p>
    <w:p w:rsidR="00046E7A" w:rsidRPr="00566776" w:rsidRDefault="009B428C" w:rsidP="00046E7A">
      <w:pPr>
        <w:spacing w:before="120" w:after="120" w:line="240" w:lineRule="auto"/>
        <w:jc w:val="both"/>
        <w:rPr>
          <w:rFonts w:ascii="Arial" w:hAnsi="Arial" w:cs="Arial"/>
          <w:b/>
        </w:rPr>
      </w:pPr>
      <w:r w:rsidRPr="00566776">
        <w:rPr>
          <w:rFonts w:ascii="Arial" w:hAnsi="Arial" w:cs="Arial"/>
          <w:b/>
        </w:rPr>
        <w:t>CON</w:t>
      </w:r>
      <w:r w:rsidR="00ED76A5" w:rsidRPr="00566776">
        <w:rPr>
          <w:rFonts w:ascii="Arial" w:hAnsi="Arial" w:cs="Arial"/>
          <w:b/>
        </w:rPr>
        <w:t>STITUCIONAL. ADMINISTRATIVO</w:t>
      </w:r>
      <w:r w:rsidR="00046E7A" w:rsidRPr="00566776">
        <w:rPr>
          <w:rFonts w:ascii="Arial" w:hAnsi="Arial" w:cs="Arial"/>
          <w:b/>
        </w:rPr>
        <w:t>.</w:t>
      </w:r>
      <w:r w:rsidR="00144EAF" w:rsidRPr="00566776">
        <w:rPr>
          <w:rFonts w:ascii="Arial" w:hAnsi="Arial" w:cs="Arial"/>
          <w:b/>
        </w:rPr>
        <w:t xml:space="preserve"> </w:t>
      </w:r>
      <w:r w:rsidR="00046E7A" w:rsidRPr="00566776">
        <w:rPr>
          <w:rFonts w:ascii="Arial" w:hAnsi="Arial" w:cs="Arial"/>
          <w:b/>
        </w:rPr>
        <w:t> SERVIDOR</w:t>
      </w:r>
      <w:r w:rsidR="009F312A" w:rsidRPr="00566776">
        <w:rPr>
          <w:rFonts w:ascii="Arial" w:hAnsi="Arial" w:cs="Arial"/>
          <w:b/>
        </w:rPr>
        <w:t xml:space="preserve"> PÚBLICO. </w:t>
      </w:r>
      <w:r w:rsidR="00046E7A" w:rsidRPr="00566776">
        <w:rPr>
          <w:rFonts w:ascii="Arial" w:hAnsi="Arial" w:cs="Arial"/>
          <w:b/>
        </w:rPr>
        <w:t xml:space="preserve">CEPLAC. </w:t>
      </w:r>
      <w:r w:rsidR="00D07610" w:rsidRPr="00566776">
        <w:rPr>
          <w:rFonts w:ascii="Arial" w:hAnsi="Arial" w:cs="Arial"/>
          <w:b/>
        </w:rPr>
        <w:t xml:space="preserve">DIREITO AO REENQUADRAMENTO NO PLANO DE CARREIRA </w:t>
      </w:r>
      <w:r w:rsidR="00CA1546" w:rsidRPr="00566776">
        <w:rPr>
          <w:rFonts w:ascii="Arial" w:hAnsi="Arial" w:cs="Arial"/>
          <w:b/>
        </w:rPr>
        <w:t xml:space="preserve">DA ÁREA DE CIÊNCIA E TECNOLOGIA. </w:t>
      </w:r>
      <w:r w:rsidR="00046E7A" w:rsidRPr="00566776">
        <w:rPr>
          <w:rFonts w:ascii="Arial" w:hAnsi="Arial" w:cs="Arial"/>
          <w:b/>
        </w:rPr>
        <w:t>TEMA EMINENTEMENTE CONSTITUCIONAL</w:t>
      </w:r>
      <w:r w:rsidR="00BE0F86" w:rsidRPr="00566776">
        <w:rPr>
          <w:rFonts w:ascii="Arial" w:hAnsi="Arial" w:cs="Arial"/>
          <w:b/>
        </w:rPr>
        <w:t>.</w:t>
      </w:r>
      <w:r w:rsidR="00046E7A" w:rsidRPr="00566776">
        <w:rPr>
          <w:rFonts w:ascii="Arial" w:hAnsi="Arial" w:cs="Arial"/>
          <w:b/>
        </w:rPr>
        <w:t xml:space="preserve"> APLICAÇÃO DA SÚMULA 86/TNU. RECURSO NÃO CONHECIDO. </w:t>
      </w:r>
    </w:p>
    <w:p w:rsidR="00A9605B" w:rsidRPr="00566776" w:rsidRDefault="0026475A" w:rsidP="00566776">
      <w:pPr>
        <w:pStyle w:val="PargrafodaLista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 xml:space="preserve">Inicialmente, não conheço da manifestação de fls. </w:t>
      </w:r>
      <w:r w:rsidR="00B966BD" w:rsidRPr="00566776">
        <w:rPr>
          <w:rFonts w:ascii="Arial" w:hAnsi="Arial" w:cs="Arial"/>
        </w:rPr>
        <w:t>174/178, porquanto não houve a interposição de embargos de declaração</w:t>
      </w:r>
      <w:r w:rsidR="00046E7A" w:rsidRPr="00566776">
        <w:rPr>
          <w:rFonts w:ascii="Arial" w:hAnsi="Arial" w:cs="Arial"/>
        </w:rPr>
        <w:t>.</w:t>
      </w:r>
    </w:p>
    <w:p w:rsidR="00A9605B" w:rsidRPr="00566776" w:rsidRDefault="009D37D7" w:rsidP="00566776">
      <w:pPr>
        <w:pStyle w:val="PargrafodaLista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>Nos termos do artigo 14, caput e § 2ª, da Lei nº 10.259/2001, é pressuposto específico para a viabilidade do “pedido de uniformização” a demonstração, a partir do cotejo analítico com julgados de outras turmas recursais dos juizados especiais federais (JEF) ou com enunciado de súmula ou a jurisprudência dominante no Superior Tribunal de Justiça (STJ), da adoção, no acórdão de origem, de tese divergente sobre a solução de “questões de direito material” decorrentes da “interpretação de lei federal” para aplicação a situações fático-jurídicas similares</w:t>
      </w:r>
      <w:r w:rsidR="00A9605B" w:rsidRPr="00566776">
        <w:rPr>
          <w:rFonts w:ascii="Arial" w:hAnsi="Arial" w:cs="Arial"/>
        </w:rPr>
        <w:t xml:space="preserve"> </w:t>
      </w:r>
    </w:p>
    <w:p w:rsidR="00A9605B" w:rsidRPr="00566776" w:rsidRDefault="002C6F7E" w:rsidP="00566776">
      <w:pPr>
        <w:pStyle w:val="PargrafodaLista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lastRenderedPageBreak/>
        <w:t>No presente caso, não</w:t>
      </w:r>
      <w:r w:rsidR="00E57374" w:rsidRPr="00566776">
        <w:rPr>
          <w:rFonts w:ascii="Arial" w:hAnsi="Arial" w:cs="Arial"/>
        </w:rPr>
        <w:t xml:space="preserve"> obstante restar caracter</w:t>
      </w:r>
      <w:r w:rsidR="00F0494B" w:rsidRPr="00566776">
        <w:rPr>
          <w:rFonts w:ascii="Arial" w:hAnsi="Arial" w:cs="Arial"/>
        </w:rPr>
        <w:t>izada a divergência de entendimento,</w:t>
      </w:r>
      <w:r w:rsidR="00210F81" w:rsidRPr="00566776">
        <w:rPr>
          <w:rFonts w:ascii="Arial" w:hAnsi="Arial" w:cs="Arial"/>
        </w:rPr>
        <w:t xml:space="preserve"> </w:t>
      </w:r>
      <w:r w:rsidR="0082234F" w:rsidRPr="00566776">
        <w:rPr>
          <w:rFonts w:ascii="Arial" w:hAnsi="Arial" w:cs="Arial"/>
        </w:rPr>
        <w:t>o</w:t>
      </w:r>
      <w:r w:rsidR="005C3CB2" w:rsidRPr="00566776">
        <w:rPr>
          <w:rFonts w:ascii="Arial" w:hAnsi="Arial" w:cs="Arial"/>
        </w:rPr>
        <w:t xml:space="preserve"> </w:t>
      </w:r>
      <w:r w:rsidR="00024FD5" w:rsidRPr="00566776">
        <w:rPr>
          <w:rFonts w:ascii="Arial" w:hAnsi="Arial" w:cs="Arial"/>
        </w:rPr>
        <w:t>debate jurídico inserto nos autos</w:t>
      </w:r>
      <w:r w:rsidR="003D106A" w:rsidRPr="00566776">
        <w:rPr>
          <w:rFonts w:ascii="Arial" w:hAnsi="Arial" w:cs="Arial"/>
        </w:rPr>
        <w:t xml:space="preserve"> não se circunscreve à interpretação e alcance da legislação infraconstitucional.</w:t>
      </w:r>
      <w:r w:rsidR="002C7004" w:rsidRPr="00566776">
        <w:rPr>
          <w:rFonts w:ascii="Arial" w:hAnsi="Arial" w:cs="Arial"/>
        </w:rPr>
        <w:t xml:space="preserve"> De fato, </w:t>
      </w:r>
      <w:r w:rsidR="0020106A" w:rsidRPr="00566776">
        <w:rPr>
          <w:rFonts w:ascii="Arial" w:hAnsi="Arial" w:cs="Arial"/>
        </w:rPr>
        <w:t xml:space="preserve">a matéria posta em discussão, qual seja o reenquadramento de servidores públicos </w:t>
      </w:r>
      <w:r w:rsidR="002A665B" w:rsidRPr="00566776">
        <w:rPr>
          <w:rFonts w:ascii="Arial" w:hAnsi="Arial" w:cs="Arial"/>
        </w:rPr>
        <w:t xml:space="preserve">face </w:t>
      </w:r>
      <w:r w:rsidR="00B33227" w:rsidRPr="00566776">
        <w:rPr>
          <w:rFonts w:ascii="Arial" w:hAnsi="Arial" w:cs="Arial"/>
        </w:rPr>
        <w:t>aos</w:t>
      </w:r>
      <w:r w:rsidR="002A665B" w:rsidRPr="00566776">
        <w:rPr>
          <w:rFonts w:ascii="Arial" w:hAnsi="Arial" w:cs="Arial"/>
        </w:rPr>
        <w:t xml:space="preserve"> princípio</w:t>
      </w:r>
      <w:r w:rsidR="00B33227" w:rsidRPr="00566776">
        <w:rPr>
          <w:rFonts w:ascii="Arial" w:hAnsi="Arial" w:cs="Arial"/>
        </w:rPr>
        <w:t xml:space="preserve">s </w:t>
      </w:r>
      <w:r w:rsidR="002A665B" w:rsidRPr="00566776">
        <w:rPr>
          <w:rFonts w:ascii="Arial" w:hAnsi="Arial" w:cs="Arial"/>
        </w:rPr>
        <w:t>da reserva legal</w:t>
      </w:r>
      <w:r w:rsidR="00B33227" w:rsidRPr="00566776">
        <w:rPr>
          <w:rFonts w:ascii="Arial" w:hAnsi="Arial" w:cs="Arial"/>
        </w:rPr>
        <w:t xml:space="preserve"> e separação de poderes e </w:t>
      </w:r>
      <w:r w:rsidR="00B757A2" w:rsidRPr="00566776">
        <w:rPr>
          <w:rFonts w:ascii="Arial" w:hAnsi="Arial" w:cs="Arial"/>
        </w:rPr>
        <w:t>ao necessário provimento de cargos e empregos públicos mediante prévia aprovação em concurso público</w:t>
      </w:r>
      <w:r w:rsidR="006E730D" w:rsidRPr="00566776">
        <w:rPr>
          <w:rFonts w:ascii="Arial" w:hAnsi="Arial" w:cs="Arial"/>
        </w:rPr>
        <w:t>, ventila discussão de caráter estritamente constitucional.</w:t>
      </w:r>
    </w:p>
    <w:p w:rsidR="00501739" w:rsidRPr="00566776" w:rsidRDefault="00046E7A" w:rsidP="00566776">
      <w:pPr>
        <w:pStyle w:val="PargrafodaLista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>Logo, é de se aplicar ao caso em tela o disposto na Súmula 86/TNU</w:t>
      </w:r>
      <w:r w:rsidRPr="00566776">
        <w:rPr>
          <w:rStyle w:val="Refdenotaderodap"/>
          <w:rFonts w:ascii="Arial" w:hAnsi="Arial" w:cs="Arial"/>
        </w:rPr>
        <w:footnoteReference w:id="1"/>
      </w:r>
      <w:r w:rsidRPr="00566776">
        <w:rPr>
          <w:rFonts w:ascii="Arial" w:hAnsi="Arial" w:cs="Arial"/>
        </w:rPr>
        <w:t xml:space="preserve">. </w:t>
      </w:r>
    </w:p>
    <w:p w:rsidR="00501739" w:rsidRPr="00566776" w:rsidRDefault="00464900" w:rsidP="00566776">
      <w:pPr>
        <w:pStyle w:val="PargrafodaLista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 xml:space="preserve">Ressalve-se </w:t>
      </w:r>
      <w:r w:rsidR="001E0B08" w:rsidRPr="00566776">
        <w:rPr>
          <w:rFonts w:ascii="Arial" w:hAnsi="Arial" w:cs="Arial"/>
        </w:rPr>
        <w:t xml:space="preserve">inexistir precedente em sede de repercussão geral ou controle concentrado de constitucionalidade </w:t>
      </w:r>
      <w:r w:rsidR="00230A7A" w:rsidRPr="00566776">
        <w:rPr>
          <w:rFonts w:ascii="Arial" w:hAnsi="Arial" w:cs="Arial"/>
        </w:rPr>
        <w:t xml:space="preserve">sobre o tema, </w:t>
      </w:r>
      <w:r w:rsidR="00037DF2" w:rsidRPr="00566776">
        <w:rPr>
          <w:rFonts w:ascii="Arial" w:hAnsi="Arial" w:cs="Arial"/>
        </w:rPr>
        <w:t xml:space="preserve">de modo que </w:t>
      </w:r>
      <w:r w:rsidR="00E55FD5" w:rsidRPr="00566776">
        <w:rPr>
          <w:rFonts w:ascii="Arial" w:hAnsi="Arial" w:cs="Arial"/>
        </w:rPr>
        <w:t xml:space="preserve">não incide na espécie </w:t>
      </w:r>
      <w:r w:rsidR="00A56B3F" w:rsidRPr="00566776">
        <w:rPr>
          <w:rFonts w:ascii="Arial" w:hAnsi="Arial" w:cs="Arial"/>
        </w:rPr>
        <w:t>a exceção prevista no Enunciado d</w:t>
      </w:r>
      <w:r w:rsidR="00C92A0F" w:rsidRPr="00566776">
        <w:rPr>
          <w:rFonts w:ascii="Arial" w:hAnsi="Arial" w:cs="Arial"/>
        </w:rPr>
        <w:t>a</w:t>
      </w:r>
      <w:r w:rsidR="00A56B3F" w:rsidRPr="00566776">
        <w:rPr>
          <w:rFonts w:ascii="Arial" w:hAnsi="Arial" w:cs="Arial"/>
        </w:rPr>
        <w:t xml:space="preserve"> Súmula acima referida.</w:t>
      </w:r>
    </w:p>
    <w:p w:rsidR="00046E7A" w:rsidRPr="00566776" w:rsidRDefault="000105E3" w:rsidP="00566776">
      <w:pPr>
        <w:pStyle w:val="PargrafodaLista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566776">
        <w:rPr>
          <w:rFonts w:ascii="Arial" w:hAnsi="Arial" w:cs="Arial"/>
        </w:rPr>
        <w:t xml:space="preserve">Ante o exposto, </w:t>
      </w:r>
      <w:r w:rsidRPr="00566776">
        <w:rPr>
          <w:rFonts w:ascii="Arial" w:hAnsi="Arial" w:cs="Arial"/>
          <w:b/>
        </w:rPr>
        <w:t>NÃO CONHEÇO</w:t>
      </w:r>
      <w:r w:rsidRPr="00566776">
        <w:rPr>
          <w:rFonts w:ascii="Arial" w:hAnsi="Arial" w:cs="Arial"/>
        </w:rPr>
        <w:t xml:space="preserve"> do Pedido de Uniformização.</w:t>
      </w:r>
    </w:p>
    <w:p w:rsidR="00046E7A" w:rsidRPr="00566776" w:rsidRDefault="00046E7A" w:rsidP="00501739">
      <w:pPr>
        <w:pStyle w:val="TextosemFormatao"/>
        <w:spacing w:before="120" w:after="120"/>
        <w:rPr>
          <w:rFonts w:ascii="Arial" w:hAnsi="Arial" w:cs="Arial"/>
          <w:b/>
          <w:sz w:val="22"/>
          <w:szCs w:val="22"/>
        </w:rPr>
      </w:pPr>
    </w:p>
    <w:p w:rsidR="00046E7A" w:rsidRPr="00566776" w:rsidRDefault="00046E7A" w:rsidP="00046E7A">
      <w:pPr>
        <w:pStyle w:val="TextosemFormatao"/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 w:rsidRPr="00566776">
        <w:rPr>
          <w:rFonts w:ascii="Arial" w:hAnsi="Arial" w:cs="Arial"/>
          <w:b/>
          <w:sz w:val="22"/>
          <w:szCs w:val="22"/>
        </w:rPr>
        <w:t>ACÓRDÃO</w:t>
      </w:r>
    </w:p>
    <w:p w:rsidR="00046E7A" w:rsidRPr="00566776" w:rsidRDefault="00046E7A" w:rsidP="00046E7A">
      <w:pPr>
        <w:pStyle w:val="Recuodecorpodetexto2"/>
        <w:spacing w:before="120" w:line="240" w:lineRule="auto"/>
        <w:ind w:left="0" w:firstLine="993"/>
        <w:jc w:val="both"/>
        <w:rPr>
          <w:rFonts w:ascii="Arial" w:hAnsi="Arial" w:cs="Arial"/>
          <w:sz w:val="22"/>
          <w:szCs w:val="22"/>
        </w:rPr>
      </w:pPr>
    </w:p>
    <w:p w:rsidR="00046E7A" w:rsidRPr="00566776" w:rsidRDefault="00046E7A" w:rsidP="00046E7A">
      <w:pPr>
        <w:pStyle w:val="ementa"/>
        <w:ind w:firstLine="1134"/>
        <w:rPr>
          <w:rFonts w:cs="Arial"/>
          <w:szCs w:val="22"/>
          <w:lang w:val="pt-BR"/>
        </w:rPr>
      </w:pPr>
      <w:r w:rsidRPr="00566776">
        <w:rPr>
          <w:rFonts w:cs="Arial"/>
          <w:szCs w:val="22"/>
          <w:lang w:val="pt-BR"/>
        </w:rPr>
        <w:t xml:space="preserve">Vistos, relatados e discutidos estes autos, em que são partes as acima nominadas, acordam os juízes da Turma Regional de Uniformização, por </w:t>
      </w:r>
      <w:r w:rsidR="00331889" w:rsidRPr="00566776">
        <w:rPr>
          <w:rFonts w:cs="Arial"/>
          <w:szCs w:val="22"/>
          <w:lang w:val="pt-BR"/>
        </w:rPr>
        <w:t>unanimidade</w:t>
      </w:r>
      <w:r w:rsidRPr="00566776">
        <w:rPr>
          <w:rFonts w:cs="Arial"/>
          <w:szCs w:val="22"/>
          <w:lang w:val="pt-BR"/>
        </w:rPr>
        <w:t>, em não conhecer do Pedido de Uniformização, nos termos do voto do relator.</w:t>
      </w:r>
    </w:p>
    <w:p w:rsidR="00834752" w:rsidRPr="00566776" w:rsidRDefault="00834752" w:rsidP="00502AA8">
      <w:pPr>
        <w:pStyle w:val="ementa"/>
        <w:ind w:firstLine="1134"/>
        <w:rPr>
          <w:rFonts w:cs="Arial"/>
          <w:szCs w:val="22"/>
          <w:lang w:val="pt-BR"/>
        </w:rPr>
      </w:pPr>
    </w:p>
    <w:p w:rsidR="00502AA8" w:rsidRPr="00566776" w:rsidRDefault="00834752" w:rsidP="00502AA8">
      <w:pPr>
        <w:pStyle w:val="ementa"/>
        <w:ind w:firstLine="1134"/>
        <w:rPr>
          <w:rFonts w:cs="Arial"/>
          <w:szCs w:val="22"/>
          <w:lang w:val="pt-BR"/>
        </w:rPr>
      </w:pPr>
      <w:r w:rsidRPr="00566776">
        <w:rPr>
          <w:rFonts w:cs="Arial"/>
          <w:szCs w:val="22"/>
          <w:lang w:val="pt-BR"/>
        </w:rPr>
        <w:t xml:space="preserve">Turma Regional de Uniformização (Sessão Telepresencial), em </w:t>
      </w:r>
      <w:r w:rsidR="00525AF8">
        <w:rPr>
          <w:rFonts w:cs="Arial"/>
          <w:szCs w:val="22"/>
          <w:lang w:val="pt-BR"/>
        </w:rPr>
        <w:t>13</w:t>
      </w:r>
      <w:r w:rsidRPr="00566776">
        <w:rPr>
          <w:rFonts w:cs="Arial"/>
          <w:szCs w:val="22"/>
          <w:lang w:val="pt-BR"/>
        </w:rPr>
        <w:t>/</w:t>
      </w:r>
      <w:r w:rsidR="00525AF8">
        <w:rPr>
          <w:rFonts w:cs="Arial"/>
          <w:szCs w:val="22"/>
          <w:lang w:val="pt-BR"/>
        </w:rPr>
        <w:t>11</w:t>
      </w:r>
      <w:r w:rsidRPr="00566776">
        <w:rPr>
          <w:rFonts w:cs="Arial"/>
          <w:szCs w:val="22"/>
          <w:lang w:val="pt-BR"/>
        </w:rPr>
        <w:t>/20</w:t>
      </w:r>
      <w:r w:rsidR="00F62A00" w:rsidRPr="00566776">
        <w:rPr>
          <w:rFonts w:cs="Arial"/>
          <w:szCs w:val="22"/>
          <w:lang w:val="pt-BR"/>
        </w:rPr>
        <w:t>20</w:t>
      </w:r>
      <w:r w:rsidRPr="00566776">
        <w:rPr>
          <w:rFonts w:cs="Arial"/>
          <w:szCs w:val="22"/>
          <w:lang w:val="pt-BR"/>
        </w:rPr>
        <w:t xml:space="preserve">. </w:t>
      </w:r>
    </w:p>
    <w:p w:rsidR="00512502" w:rsidRPr="00566776" w:rsidRDefault="00512502" w:rsidP="007D15D1">
      <w:pPr>
        <w:pStyle w:val="Recuodecorpodetexto2"/>
        <w:spacing w:before="120" w:line="240" w:lineRule="auto"/>
        <w:ind w:left="0" w:firstLine="993"/>
        <w:jc w:val="both"/>
        <w:rPr>
          <w:rFonts w:ascii="Arial" w:hAnsi="Arial" w:cs="Arial"/>
          <w:sz w:val="22"/>
          <w:szCs w:val="22"/>
        </w:rPr>
      </w:pPr>
      <w:r w:rsidRPr="00566776">
        <w:rPr>
          <w:rFonts w:ascii="Arial" w:hAnsi="Arial" w:cs="Arial"/>
          <w:sz w:val="22"/>
          <w:szCs w:val="22"/>
        </w:rPr>
        <w:tab/>
      </w:r>
    </w:p>
    <w:p w:rsidR="004D5C2B" w:rsidRPr="00566776" w:rsidRDefault="004D5C2B" w:rsidP="007D15D1">
      <w:pPr>
        <w:pStyle w:val="Recuodecorpodetexto2"/>
        <w:spacing w:before="120" w:line="240" w:lineRule="auto"/>
        <w:ind w:left="0" w:firstLine="993"/>
        <w:jc w:val="both"/>
        <w:rPr>
          <w:rFonts w:ascii="Arial" w:hAnsi="Arial" w:cs="Arial"/>
          <w:sz w:val="22"/>
          <w:szCs w:val="22"/>
        </w:rPr>
      </w:pPr>
    </w:p>
    <w:p w:rsidR="000467F1" w:rsidRPr="00566776" w:rsidRDefault="00AD7FEB" w:rsidP="007F3EC8">
      <w:pPr>
        <w:pStyle w:val="Recuodecorpodetexto"/>
        <w:spacing w:after="0"/>
        <w:jc w:val="center"/>
        <w:rPr>
          <w:rFonts w:cs="Arial"/>
          <w:b/>
          <w:sz w:val="22"/>
          <w:szCs w:val="22"/>
        </w:rPr>
      </w:pPr>
      <w:r w:rsidRPr="00566776">
        <w:rPr>
          <w:rFonts w:cs="Arial"/>
          <w:b/>
          <w:sz w:val="22"/>
          <w:szCs w:val="22"/>
        </w:rPr>
        <w:t xml:space="preserve">               </w:t>
      </w:r>
      <w:r w:rsidR="007F3EC8" w:rsidRPr="00566776">
        <w:rPr>
          <w:rFonts w:cs="Arial"/>
          <w:b/>
          <w:sz w:val="22"/>
          <w:szCs w:val="22"/>
        </w:rPr>
        <w:t>MARCELO CARVALHO CAVALCANTE DE OLIVEIRA</w:t>
      </w:r>
      <w:r w:rsidR="000467F1" w:rsidRPr="00566776">
        <w:rPr>
          <w:rFonts w:cs="Arial"/>
          <w:b/>
          <w:sz w:val="22"/>
          <w:szCs w:val="22"/>
        </w:rPr>
        <w:tab/>
      </w:r>
      <w:r w:rsidR="000467F1" w:rsidRPr="00566776">
        <w:rPr>
          <w:rFonts w:cs="Arial"/>
          <w:b/>
          <w:sz w:val="22"/>
          <w:szCs w:val="22"/>
        </w:rPr>
        <w:tab/>
      </w:r>
    </w:p>
    <w:p w:rsidR="000467F1" w:rsidRPr="00566776" w:rsidRDefault="000467F1" w:rsidP="00AD7FEB">
      <w:pPr>
        <w:pStyle w:val="Recuodecorpodetexto"/>
        <w:spacing w:before="0" w:after="0"/>
        <w:jc w:val="center"/>
        <w:rPr>
          <w:rFonts w:cs="Arial"/>
          <w:sz w:val="22"/>
          <w:szCs w:val="22"/>
        </w:rPr>
      </w:pPr>
      <w:r w:rsidRPr="00566776">
        <w:rPr>
          <w:rFonts w:cs="Arial"/>
          <w:sz w:val="22"/>
          <w:szCs w:val="22"/>
        </w:rPr>
        <w:t>Relator</w:t>
      </w:r>
      <w:r w:rsidR="00834752" w:rsidRPr="00566776">
        <w:rPr>
          <w:rFonts w:cs="Arial"/>
          <w:sz w:val="22"/>
          <w:szCs w:val="22"/>
        </w:rPr>
        <w:t xml:space="preserve"> </w:t>
      </w:r>
    </w:p>
    <w:p w:rsidR="00512502" w:rsidRPr="00566776" w:rsidRDefault="00512502" w:rsidP="007D15D1">
      <w:pPr>
        <w:spacing w:before="120" w:after="120" w:line="240" w:lineRule="auto"/>
        <w:rPr>
          <w:rFonts w:ascii="Arial" w:hAnsi="Arial" w:cs="Arial"/>
        </w:rPr>
      </w:pPr>
    </w:p>
    <w:p w:rsidR="00512502" w:rsidRPr="00566776" w:rsidRDefault="00512502" w:rsidP="007D15D1">
      <w:pPr>
        <w:spacing w:before="120" w:after="120" w:line="240" w:lineRule="auto"/>
        <w:rPr>
          <w:rFonts w:ascii="Arial" w:hAnsi="Arial" w:cs="Arial"/>
        </w:rPr>
      </w:pPr>
    </w:p>
    <w:p w:rsidR="00FC1881" w:rsidRPr="00566776" w:rsidRDefault="00FC1881" w:rsidP="007D15D1">
      <w:pPr>
        <w:spacing w:before="120" w:after="120" w:line="240" w:lineRule="auto"/>
        <w:rPr>
          <w:rFonts w:ascii="Arial" w:hAnsi="Arial" w:cs="Arial"/>
        </w:rPr>
      </w:pPr>
    </w:p>
    <w:sectPr w:rsidR="00FC1881" w:rsidRPr="00566776" w:rsidSect="00E103F2">
      <w:headerReference w:type="default" r:id="rId8"/>
      <w:headerReference w:type="first" r:id="rId9"/>
      <w:pgSz w:w="11906" w:h="16838"/>
      <w:pgMar w:top="737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4AD" w:rsidRDefault="003F04AD" w:rsidP="007D15D1">
      <w:pPr>
        <w:spacing w:after="0" w:line="240" w:lineRule="auto"/>
      </w:pPr>
      <w:r>
        <w:separator/>
      </w:r>
    </w:p>
  </w:endnote>
  <w:endnote w:type="continuationSeparator" w:id="0">
    <w:p w:rsidR="003F04AD" w:rsidRDefault="003F04AD" w:rsidP="007D1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4AD" w:rsidRDefault="003F04AD" w:rsidP="007D15D1">
      <w:pPr>
        <w:spacing w:after="0" w:line="240" w:lineRule="auto"/>
      </w:pPr>
      <w:r>
        <w:separator/>
      </w:r>
    </w:p>
  </w:footnote>
  <w:footnote w:type="continuationSeparator" w:id="0">
    <w:p w:rsidR="003F04AD" w:rsidRDefault="003F04AD" w:rsidP="007D15D1">
      <w:pPr>
        <w:spacing w:after="0" w:line="240" w:lineRule="auto"/>
      </w:pPr>
      <w:r>
        <w:continuationSeparator/>
      </w:r>
    </w:p>
  </w:footnote>
  <w:footnote w:id="1">
    <w:p w:rsidR="00BE0F86" w:rsidRPr="00C11452" w:rsidRDefault="00BE0F86" w:rsidP="00046E7A">
      <w:pPr>
        <w:pStyle w:val="Textodenotaderodap"/>
        <w:jc w:val="both"/>
        <w:rPr>
          <w:sz w:val="18"/>
          <w:szCs w:val="18"/>
        </w:rPr>
      </w:pPr>
      <w:r>
        <w:rPr>
          <w:rStyle w:val="Refdenotaderodap"/>
        </w:rPr>
        <w:footnoteRef/>
      </w:r>
      <w:r>
        <w:t xml:space="preserve"> </w:t>
      </w:r>
      <w:r w:rsidRPr="00C11452">
        <w:rPr>
          <w:rFonts w:ascii="Times New Roman" w:hAnsi="Times New Roman"/>
          <w:i/>
          <w:sz w:val="18"/>
          <w:szCs w:val="18"/>
        </w:rPr>
        <w:t>“Não cabe incidente de uniformização que tenha como objeto principal questão controvertida de natureza constitucional que ainda não tenha sido definida pelo Supremo Tribunal Federal em sua jurisprudência dominante”.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F86" w:rsidRPr="00574B0D" w:rsidRDefault="00BE0F86" w:rsidP="00574B0D">
    <w:pPr>
      <w:pStyle w:val="Cabealho"/>
      <w:rPr>
        <w:b/>
        <w:sz w:val="20"/>
        <w:szCs w:val="20"/>
      </w:rPr>
    </w:pPr>
    <w:r>
      <w:rPr>
        <w:b/>
        <w:sz w:val="20"/>
        <w:szCs w:val="20"/>
      </w:rPr>
      <w:t>TRUJEF1</w:t>
    </w:r>
    <w:r>
      <w:rPr>
        <w:b/>
        <w:sz w:val="20"/>
        <w:szCs w:val="20"/>
      </w:rPr>
      <w:tab/>
      <w:t xml:space="preserve">                                                                                                     </w:t>
    </w:r>
    <w:r w:rsidRPr="00574B0D">
      <w:rPr>
        <w:b/>
        <w:sz w:val="20"/>
        <w:szCs w:val="20"/>
      </w:rPr>
      <w:t>P</w:t>
    </w:r>
    <w:r>
      <w:rPr>
        <w:b/>
        <w:sz w:val="20"/>
        <w:szCs w:val="20"/>
      </w:rPr>
      <w:t>UIF</w:t>
    </w:r>
    <w:r w:rsidRPr="00574B0D">
      <w:rPr>
        <w:b/>
        <w:sz w:val="20"/>
        <w:szCs w:val="20"/>
      </w:rPr>
      <w:t xml:space="preserve"> </w:t>
    </w:r>
    <w:r w:rsidR="007F3EC8">
      <w:rPr>
        <w:b/>
        <w:sz w:val="20"/>
        <w:szCs w:val="20"/>
      </w:rPr>
      <w:t>0014314</w:t>
    </w:r>
    <w:r w:rsidRPr="00574B0D">
      <w:rPr>
        <w:b/>
        <w:sz w:val="20"/>
        <w:szCs w:val="20"/>
      </w:rPr>
      <w:t>-</w:t>
    </w:r>
    <w:r w:rsidR="00E22FD2">
      <w:rPr>
        <w:b/>
        <w:sz w:val="20"/>
        <w:szCs w:val="20"/>
      </w:rPr>
      <w:t>72</w:t>
    </w:r>
    <w:r w:rsidRPr="00574B0D">
      <w:rPr>
        <w:b/>
        <w:sz w:val="20"/>
        <w:szCs w:val="20"/>
      </w:rPr>
      <w:t>.201</w:t>
    </w:r>
    <w:r>
      <w:rPr>
        <w:b/>
        <w:sz w:val="20"/>
        <w:szCs w:val="20"/>
      </w:rPr>
      <w:t>7</w:t>
    </w:r>
    <w:r w:rsidRPr="00574B0D">
      <w:rPr>
        <w:b/>
        <w:sz w:val="20"/>
        <w:szCs w:val="20"/>
      </w:rPr>
      <w:t>.4.01.</w:t>
    </w:r>
    <w:r>
      <w:rPr>
        <w:b/>
        <w:sz w:val="20"/>
        <w:szCs w:val="20"/>
      </w:rPr>
      <w:t>3400</w:t>
    </w:r>
    <w:r w:rsidRPr="00574B0D">
      <w:rPr>
        <w:b/>
        <w:sz w:val="20"/>
        <w:szCs w:val="20"/>
      </w:rPr>
      <w:t>/</w:t>
    </w:r>
    <w:r>
      <w:rPr>
        <w:b/>
        <w:sz w:val="20"/>
        <w:szCs w:val="20"/>
      </w:rPr>
      <w:t xml:space="preserve">DF </w:t>
    </w:r>
  </w:p>
  <w:p w:rsidR="00BE0F86" w:rsidRPr="00574B0D" w:rsidRDefault="00BE0F86">
    <w:pPr>
      <w:pStyle w:val="Cabealho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F86" w:rsidRPr="007D15D1" w:rsidRDefault="005558ED" w:rsidP="007D15D1">
    <w:pPr>
      <w:pStyle w:val="Cabealho"/>
      <w:pBdr>
        <w:bottom w:val="single" w:sz="6" w:space="1" w:color="auto"/>
      </w:pBdr>
      <w:spacing w:line="120" w:lineRule="atLeast"/>
      <w:ind w:firstLine="426"/>
      <w:jc w:val="center"/>
      <w:rPr>
        <w:sz w:val="22"/>
        <w:szCs w:val="22"/>
      </w:rPr>
    </w:pPr>
    <w:r w:rsidRPr="007D15D1">
      <w:rPr>
        <w:noProof/>
        <w:sz w:val="22"/>
        <w:szCs w:val="22"/>
      </w:rPr>
      <w:object w:dxaOrig="7368" w:dyaOrig="79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.5pt;height:50.5pt" o:ole="">
          <v:imagedata r:id="rId1" o:title=""/>
        </v:shape>
        <o:OLEObject Type="Embed" ProgID="WPDraw30.Drawing" ShapeID="_x0000_i1025" DrawAspect="Content" ObjectID="_1693208298" r:id="rId2"/>
      </w:object>
    </w:r>
  </w:p>
  <w:p w:rsidR="00BE0F86" w:rsidRPr="007D15D1" w:rsidRDefault="00BE0F86" w:rsidP="007D15D1">
    <w:pPr>
      <w:pStyle w:val="Cabealho"/>
      <w:pBdr>
        <w:bottom w:val="single" w:sz="6" w:space="1" w:color="auto"/>
      </w:pBdr>
      <w:spacing w:line="120" w:lineRule="atLeast"/>
      <w:ind w:firstLine="426"/>
      <w:jc w:val="center"/>
      <w:rPr>
        <w:b/>
        <w:sz w:val="20"/>
        <w:szCs w:val="20"/>
      </w:rPr>
    </w:pPr>
    <w:r w:rsidRPr="007D15D1">
      <w:rPr>
        <w:b/>
        <w:sz w:val="20"/>
        <w:szCs w:val="20"/>
      </w:rPr>
      <w:t>PODER JUDICIÁRIO</w:t>
    </w:r>
  </w:p>
  <w:p w:rsidR="00BE0F86" w:rsidRPr="007D15D1" w:rsidRDefault="00BE0F86" w:rsidP="007D15D1">
    <w:pPr>
      <w:pStyle w:val="Cabealho"/>
      <w:pBdr>
        <w:bottom w:val="single" w:sz="6" w:space="1" w:color="auto"/>
      </w:pBdr>
      <w:spacing w:line="120" w:lineRule="atLeast"/>
      <w:ind w:firstLine="426"/>
      <w:jc w:val="center"/>
      <w:rPr>
        <w:b/>
        <w:sz w:val="20"/>
        <w:szCs w:val="20"/>
      </w:rPr>
    </w:pPr>
    <w:r w:rsidRPr="007D15D1">
      <w:rPr>
        <w:b/>
        <w:sz w:val="20"/>
        <w:szCs w:val="20"/>
      </w:rPr>
      <w:t>TURMA REGIONAL DE UNIFORMIZAÇÃO - TRUJEF</w:t>
    </w:r>
  </w:p>
  <w:p w:rsidR="00BE0F86" w:rsidRDefault="00BE0F86" w:rsidP="007D15D1">
    <w:pPr>
      <w:pStyle w:val="Cabealho"/>
      <w:pBdr>
        <w:bottom w:val="single" w:sz="6" w:space="1" w:color="auto"/>
      </w:pBdr>
      <w:jc w:val="center"/>
      <w:rPr>
        <w:b/>
        <w:sz w:val="20"/>
        <w:szCs w:val="20"/>
      </w:rPr>
    </w:pPr>
    <w:r w:rsidRPr="007D15D1">
      <w:rPr>
        <w:b/>
        <w:sz w:val="20"/>
        <w:szCs w:val="20"/>
      </w:rPr>
      <w:t xml:space="preserve">    TRIBUNAL REGIONAL FEDERAL DA 1ª REGIÃO</w:t>
    </w:r>
  </w:p>
  <w:p w:rsidR="00BE0F86" w:rsidRDefault="00BE0F86" w:rsidP="007D15D1">
    <w:pPr>
      <w:pStyle w:val="Cabealho"/>
      <w:pBdr>
        <w:bottom w:val="single" w:sz="6" w:space="1" w:color="auto"/>
      </w:pBd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B499D"/>
    <w:multiLevelType w:val="hybridMultilevel"/>
    <w:tmpl w:val="08B428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12502"/>
    <w:rsid w:val="00007052"/>
    <w:rsid w:val="000105E3"/>
    <w:rsid w:val="00024FD5"/>
    <w:rsid w:val="00037DF2"/>
    <w:rsid w:val="000467F1"/>
    <w:rsid w:val="00046E7A"/>
    <w:rsid w:val="00053A79"/>
    <w:rsid w:val="00083749"/>
    <w:rsid w:val="00093A99"/>
    <w:rsid w:val="000A1404"/>
    <w:rsid w:val="000A1C28"/>
    <w:rsid w:val="000C375B"/>
    <w:rsid w:val="000F33B9"/>
    <w:rsid w:val="000F4089"/>
    <w:rsid w:val="000F42A0"/>
    <w:rsid w:val="00101A82"/>
    <w:rsid w:val="00111503"/>
    <w:rsid w:val="00144D33"/>
    <w:rsid w:val="00144EAF"/>
    <w:rsid w:val="00175A09"/>
    <w:rsid w:val="00180547"/>
    <w:rsid w:val="00184E52"/>
    <w:rsid w:val="001B7973"/>
    <w:rsid w:val="001D5068"/>
    <w:rsid w:val="001E0B08"/>
    <w:rsid w:val="001E68A1"/>
    <w:rsid w:val="0020106A"/>
    <w:rsid w:val="00210F81"/>
    <w:rsid w:val="00213D0D"/>
    <w:rsid w:val="00213DD0"/>
    <w:rsid w:val="00230A7A"/>
    <w:rsid w:val="00235307"/>
    <w:rsid w:val="0026475A"/>
    <w:rsid w:val="00292A33"/>
    <w:rsid w:val="00292C13"/>
    <w:rsid w:val="002931FE"/>
    <w:rsid w:val="00296C94"/>
    <w:rsid w:val="002A665B"/>
    <w:rsid w:val="002B32C2"/>
    <w:rsid w:val="002C6F7E"/>
    <w:rsid w:val="002C7004"/>
    <w:rsid w:val="00331889"/>
    <w:rsid w:val="003334D9"/>
    <w:rsid w:val="00346C40"/>
    <w:rsid w:val="00366FA9"/>
    <w:rsid w:val="00385C9D"/>
    <w:rsid w:val="003A4F80"/>
    <w:rsid w:val="003C6195"/>
    <w:rsid w:val="003D106A"/>
    <w:rsid w:val="003E301D"/>
    <w:rsid w:val="003E4D40"/>
    <w:rsid w:val="003F04AD"/>
    <w:rsid w:val="003F2F3E"/>
    <w:rsid w:val="004028F8"/>
    <w:rsid w:val="00403696"/>
    <w:rsid w:val="00412445"/>
    <w:rsid w:val="00422396"/>
    <w:rsid w:val="0042662D"/>
    <w:rsid w:val="00433D5D"/>
    <w:rsid w:val="00434831"/>
    <w:rsid w:val="00464900"/>
    <w:rsid w:val="00494DE8"/>
    <w:rsid w:val="004C69C7"/>
    <w:rsid w:val="004D2E18"/>
    <w:rsid w:val="004D5C2B"/>
    <w:rsid w:val="004F1C4F"/>
    <w:rsid w:val="00501739"/>
    <w:rsid w:val="00502AA8"/>
    <w:rsid w:val="00512502"/>
    <w:rsid w:val="00525AF8"/>
    <w:rsid w:val="005549C6"/>
    <w:rsid w:val="005558ED"/>
    <w:rsid w:val="00555EF9"/>
    <w:rsid w:val="005577A5"/>
    <w:rsid w:val="0056497D"/>
    <w:rsid w:val="00566776"/>
    <w:rsid w:val="005716E9"/>
    <w:rsid w:val="00574B0D"/>
    <w:rsid w:val="00576A92"/>
    <w:rsid w:val="00582E55"/>
    <w:rsid w:val="00584A4A"/>
    <w:rsid w:val="00591D19"/>
    <w:rsid w:val="005A1C0A"/>
    <w:rsid w:val="005A679F"/>
    <w:rsid w:val="005C3CB2"/>
    <w:rsid w:val="005C60F4"/>
    <w:rsid w:val="005F42AB"/>
    <w:rsid w:val="005F654D"/>
    <w:rsid w:val="006048D5"/>
    <w:rsid w:val="0062136D"/>
    <w:rsid w:val="00627A38"/>
    <w:rsid w:val="00636DA8"/>
    <w:rsid w:val="006569C3"/>
    <w:rsid w:val="00663DB4"/>
    <w:rsid w:val="00665914"/>
    <w:rsid w:val="006B240A"/>
    <w:rsid w:val="006E3B6C"/>
    <w:rsid w:val="006E730D"/>
    <w:rsid w:val="006E7E20"/>
    <w:rsid w:val="007101D5"/>
    <w:rsid w:val="007378B2"/>
    <w:rsid w:val="00783A41"/>
    <w:rsid w:val="00792DDB"/>
    <w:rsid w:val="007B78F0"/>
    <w:rsid w:val="007D15D1"/>
    <w:rsid w:val="007D3C56"/>
    <w:rsid w:val="007D4322"/>
    <w:rsid w:val="007D7BA0"/>
    <w:rsid w:val="007E7CCF"/>
    <w:rsid w:val="007F3EC8"/>
    <w:rsid w:val="0081528C"/>
    <w:rsid w:val="0082234F"/>
    <w:rsid w:val="00834752"/>
    <w:rsid w:val="00842AEF"/>
    <w:rsid w:val="00854158"/>
    <w:rsid w:val="00870EA6"/>
    <w:rsid w:val="008763F0"/>
    <w:rsid w:val="00886544"/>
    <w:rsid w:val="0088762D"/>
    <w:rsid w:val="008C04E1"/>
    <w:rsid w:val="008E14B7"/>
    <w:rsid w:val="008E3D72"/>
    <w:rsid w:val="00907439"/>
    <w:rsid w:val="009301BC"/>
    <w:rsid w:val="00931BEC"/>
    <w:rsid w:val="00940ADB"/>
    <w:rsid w:val="0094377C"/>
    <w:rsid w:val="00951B41"/>
    <w:rsid w:val="00951C86"/>
    <w:rsid w:val="00953A4F"/>
    <w:rsid w:val="00995D0F"/>
    <w:rsid w:val="009B428C"/>
    <w:rsid w:val="009C1E5F"/>
    <w:rsid w:val="009C6F56"/>
    <w:rsid w:val="009D37D7"/>
    <w:rsid w:val="009F312A"/>
    <w:rsid w:val="00A00CFA"/>
    <w:rsid w:val="00A14945"/>
    <w:rsid w:val="00A56B3F"/>
    <w:rsid w:val="00A87CAD"/>
    <w:rsid w:val="00A9605B"/>
    <w:rsid w:val="00AB580E"/>
    <w:rsid w:val="00AB637F"/>
    <w:rsid w:val="00AC1DA1"/>
    <w:rsid w:val="00AD257E"/>
    <w:rsid w:val="00AD6FD1"/>
    <w:rsid w:val="00AD7FEB"/>
    <w:rsid w:val="00B33227"/>
    <w:rsid w:val="00B40075"/>
    <w:rsid w:val="00B414B3"/>
    <w:rsid w:val="00B744C9"/>
    <w:rsid w:val="00B757A2"/>
    <w:rsid w:val="00B814E8"/>
    <w:rsid w:val="00B907CB"/>
    <w:rsid w:val="00B92D7B"/>
    <w:rsid w:val="00B966BD"/>
    <w:rsid w:val="00BB1FCF"/>
    <w:rsid w:val="00BC2BA8"/>
    <w:rsid w:val="00BD399E"/>
    <w:rsid w:val="00BE0F86"/>
    <w:rsid w:val="00BF64A0"/>
    <w:rsid w:val="00C00179"/>
    <w:rsid w:val="00C01CC7"/>
    <w:rsid w:val="00C07033"/>
    <w:rsid w:val="00C1100D"/>
    <w:rsid w:val="00C136C8"/>
    <w:rsid w:val="00C4085E"/>
    <w:rsid w:val="00C44D6E"/>
    <w:rsid w:val="00C4745F"/>
    <w:rsid w:val="00C47A79"/>
    <w:rsid w:val="00C63E35"/>
    <w:rsid w:val="00C71165"/>
    <w:rsid w:val="00C92A0F"/>
    <w:rsid w:val="00C953C4"/>
    <w:rsid w:val="00CA1546"/>
    <w:rsid w:val="00CD20AC"/>
    <w:rsid w:val="00CD2616"/>
    <w:rsid w:val="00D07610"/>
    <w:rsid w:val="00D37B65"/>
    <w:rsid w:val="00D55168"/>
    <w:rsid w:val="00D56797"/>
    <w:rsid w:val="00D60ABB"/>
    <w:rsid w:val="00D6183D"/>
    <w:rsid w:val="00D77B2F"/>
    <w:rsid w:val="00D82512"/>
    <w:rsid w:val="00D87848"/>
    <w:rsid w:val="00D92A01"/>
    <w:rsid w:val="00D968E4"/>
    <w:rsid w:val="00D972B0"/>
    <w:rsid w:val="00DA5761"/>
    <w:rsid w:val="00DE068B"/>
    <w:rsid w:val="00E0137A"/>
    <w:rsid w:val="00E01C35"/>
    <w:rsid w:val="00E0553F"/>
    <w:rsid w:val="00E103F2"/>
    <w:rsid w:val="00E14204"/>
    <w:rsid w:val="00E22139"/>
    <w:rsid w:val="00E22FD2"/>
    <w:rsid w:val="00E2445C"/>
    <w:rsid w:val="00E4198C"/>
    <w:rsid w:val="00E5287C"/>
    <w:rsid w:val="00E55FD5"/>
    <w:rsid w:val="00E57374"/>
    <w:rsid w:val="00E60A78"/>
    <w:rsid w:val="00E80440"/>
    <w:rsid w:val="00E96579"/>
    <w:rsid w:val="00EC1D4E"/>
    <w:rsid w:val="00ED76A5"/>
    <w:rsid w:val="00EF7B52"/>
    <w:rsid w:val="00F0494B"/>
    <w:rsid w:val="00F07C03"/>
    <w:rsid w:val="00F24E36"/>
    <w:rsid w:val="00F41600"/>
    <w:rsid w:val="00F5741C"/>
    <w:rsid w:val="00F62A00"/>
    <w:rsid w:val="00F81744"/>
    <w:rsid w:val="00F8511C"/>
    <w:rsid w:val="00FC1881"/>
    <w:rsid w:val="00FE4336"/>
    <w:rsid w:val="00FF4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502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512502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12502"/>
    <w:pPr>
      <w:keepNext/>
      <w:widowControl w:val="0"/>
      <w:autoSpaceDE w:val="0"/>
      <w:autoSpaceDN w:val="0"/>
      <w:adjustRightInd w:val="0"/>
      <w:spacing w:after="0" w:line="288" w:lineRule="auto"/>
      <w:jc w:val="center"/>
      <w:outlineLvl w:val="2"/>
    </w:pPr>
    <w:rPr>
      <w:rFonts w:ascii="Arial" w:eastAsia="Times New Roman" w:hAnsi="Arial" w:cs="Arial"/>
      <w:b/>
      <w:bCs/>
      <w:sz w:val="24"/>
      <w:szCs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2502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customStyle="1" w:styleId="Ttulo3Char">
    <w:name w:val="Título 3 Char"/>
    <w:basedOn w:val="Fontepargpadro"/>
    <w:link w:val="Ttulo3"/>
    <w:rsid w:val="00512502"/>
    <w:rPr>
      <w:rFonts w:ascii="Arial" w:eastAsia="Times New Roman" w:hAnsi="Arial" w:cs="Arial"/>
      <w:b/>
      <w:bCs/>
      <w:sz w:val="24"/>
      <w:szCs w:val="3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1250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5125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dentificao">
    <w:name w:val="Identificação"/>
    <w:basedOn w:val="Normal"/>
    <w:rsid w:val="00512502"/>
    <w:pPr>
      <w:spacing w:after="0" w:line="240" w:lineRule="auto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Default">
    <w:name w:val="Default"/>
    <w:rsid w:val="0051250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Recuodecorpodetexto">
    <w:name w:val="Body Text Indent"/>
    <w:basedOn w:val="Default"/>
    <w:next w:val="Default"/>
    <w:link w:val="RecuodecorpodetextoChar"/>
    <w:rsid w:val="00512502"/>
    <w:pPr>
      <w:spacing w:before="120" w:after="120"/>
    </w:pPr>
    <w:rPr>
      <w:rFonts w:cs="Times New Roman"/>
      <w:color w:val="auto"/>
    </w:rPr>
  </w:style>
  <w:style w:type="character" w:customStyle="1" w:styleId="RecuodecorpodetextoChar">
    <w:name w:val="Recuo de corpo de texto Char"/>
    <w:basedOn w:val="Fontepargpadro"/>
    <w:link w:val="Recuodecorpodetexto"/>
    <w:rsid w:val="00512502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par">
    <w:name w:val="par"/>
    <w:basedOn w:val="Normal"/>
    <w:rsid w:val="005125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1250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125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link w:val="ementaChar"/>
    <w:rsid w:val="00512502"/>
    <w:pPr>
      <w:widowControl w:val="0"/>
      <w:snapToGrid w:val="0"/>
      <w:spacing w:before="120" w:after="120" w:line="240" w:lineRule="auto"/>
      <w:jc w:val="both"/>
    </w:pPr>
    <w:rPr>
      <w:rFonts w:ascii="Arial" w:eastAsia="Times New Roman" w:hAnsi="Arial"/>
      <w:szCs w:val="20"/>
      <w:lang w:val="en-US" w:eastAsia="pt-BR"/>
    </w:rPr>
  </w:style>
  <w:style w:type="character" w:customStyle="1" w:styleId="ementaChar">
    <w:name w:val="ementa Char"/>
    <w:basedOn w:val="Fontepargpadro"/>
    <w:link w:val="ementa"/>
    <w:rsid w:val="00512502"/>
    <w:rPr>
      <w:rFonts w:ascii="Arial" w:eastAsia="Times New Roman" w:hAnsi="Arial" w:cs="Times New Roman"/>
      <w:szCs w:val="20"/>
      <w:lang w:val="en-US" w:eastAsia="pt-BR"/>
    </w:rPr>
  </w:style>
  <w:style w:type="paragraph" w:styleId="NormalWeb">
    <w:name w:val="Normal (Web)"/>
    <w:basedOn w:val="Normal"/>
    <w:link w:val="NormalWebChar"/>
    <w:rsid w:val="00292C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WebChar">
    <w:name w:val="Normal (Web) Char"/>
    <w:basedOn w:val="Fontepargpadro"/>
    <w:link w:val="NormalWeb"/>
    <w:locked/>
    <w:rsid w:val="00292C1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42239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22396"/>
    <w:rPr>
      <w:rFonts w:ascii="Consolas" w:hAnsi="Consolas"/>
      <w:sz w:val="21"/>
      <w:szCs w:val="21"/>
    </w:rPr>
  </w:style>
  <w:style w:type="paragraph" w:styleId="Rodap">
    <w:name w:val="footer"/>
    <w:basedOn w:val="Normal"/>
    <w:link w:val="RodapChar"/>
    <w:uiPriority w:val="99"/>
    <w:unhideWhenUsed/>
    <w:rsid w:val="007D15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15D1"/>
    <w:rPr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63DB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63DB4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663DB4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00C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2288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6911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9859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9245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5422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871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49614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1201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267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56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19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73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69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74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99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38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19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54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01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0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62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046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83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0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8147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379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744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629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1055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598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8165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8577">
          <w:marLeft w:val="1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4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695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56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58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58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14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78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52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79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78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20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01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65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83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36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10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42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CC7966-2224-46DC-8803-CCDE79EA4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547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pi100222</dc:creator>
  <cp:lastModifiedBy>tr98403</cp:lastModifiedBy>
  <cp:revision>144</cp:revision>
  <cp:lastPrinted>2019-11-12T16:36:00Z</cp:lastPrinted>
  <dcterms:created xsi:type="dcterms:W3CDTF">2020-09-21T12:42:00Z</dcterms:created>
  <dcterms:modified xsi:type="dcterms:W3CDTF">2021-09-15T13:52:00Z</dcterms:modified>
</cp:coreProperties>
</file>