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17A" w:rsidRDefault="0000017A" w:rsidP="002B2FDC">
      <w:pPr>
        <w:pStyle w:val="TextosemFormatao"/>
        <w:rPr>
          <w:rFonts w:ascii="Courier New" w:hAnsi="Courier New" w:cs="Courier New"/>
        </w:rPr>
      </w:pPr>
    </w:p>
    <w:p w:rsidR="0000017A" w:rsidRPr="002B2FDC" w:rsidRDefault="0000017A" w:rsidP="0000017A">
      <w:pPr>
        <w:pStyle w:val="Identificao"/>
      </w:pPr>
      <w:r w:rsidRPr="002B2FDC">
        <w:t>AGRAVO DE INSTRUMENTO  0057850-85.2016.4.01.0000/PA</w:t>
      </w:r>
    </w:p>
    <w:p w:rsidR="0000017A" w:rsidRPr="002B2FDC" w:rsidRDefault="0000017A" w:rsidP="0000017A">
      <w:pPr>
        <w:pStyle w:val="Identificao"/>
      </w:pPr>
      <w:r w:rsidRPr="002B2FDC">
        <w:t>Processo na Origem: 3777520164013902</w:t>
      </w:r>
    </w:p>
    <w:p w:rsidR="0000017A" w:rsidRDefault="0000017A" w:rsidP="0000017A">
      <w:pPr>
        <w:pStyle w:val="Identificao"/>
      </w:pPr>
    </w:p>
    <w:tbl>
      <w:tblPr>
        <w:tblW w:w="9900" w:type="dxa"/>
        <w:tblLayout w:type="fixed"/>
        <w:tblCellMar>
          <w:left w:w="70" w:type="dxa"/>
          <w:right w:w="70" w:type="dxa"/>
        </w:tblCellMar>
        <w:tblLook w:val="0000"/>
      </w:tblPr>
      <w:tblGrid>
        <w:gridCol w:w="2000"/>
        <w:gridCol w:w="300"/>
        <w:gridCol w:w="7600"/>
      </w:tblGrid>
      <w:tr w:rsidR="0000017A" w:rsidRPr="0000017A" w:rsidTr="0000017A">
        <w:tc>
          <w:tcPr>
            <w:tcW w:w="2000" w:type="dxa"/>
            <w:shd w:val="clear" w:color="auto" w:fill="auto"/>
          </w:tcPr>
          <w:p w:rsidR="0000017A" w:rsidRPr="0000017A" w:rsidRDefault="0000017A" w:rsidP="0000017A">
            <w:pPr>
              <w:pStyle w:val="Identificao"/>
            </w:pPr>
            <w:r w:rsidRPr="0000017A">
              <w:t>RELATOR(A)</w:t>
            </w:r>
          </w:p>
        </w:tc>
        <w:tc>
          <w:tcPr>
            <w:tcW w:w="300" w:type="dxa"/>
            <w:shd w:val="clear" w:color="auto" w:fill="auto"/>
          </w:tcPr>
          <w:p w:rsidR="0000017A" w:rsidRPr="0000017A" w:rsidRDefault="0000017A" w:rsidP="0000017A">
            <w:pPr>
              <w:pStyle w:val="Identificao"/>
            </w:pPr>
            <w:r w:rsidRPr="0000017A">
              <w:t>:</w:t>
            </w:r>
          </w:p>
        </w:tc>
        <w:tc>
          <w:tcPr>
            <w:tcW w:w="7600" w:type="dxa"/>
            <w:shd w:val="clear" w:color="auto" w:fill="auto"/>
          </w:tcPr>
          <w:p w:rsidR="0000017A" w:rsidRPr="0000017A" w:rsidRDefault="0000017A" w:rsidP="0000017A">
            <w:pPr>
              <w:pStyle w:val="Identificao"/>
            </w:pPr>
            <w:r w:rsidRPr="0000017A">
              <w:t>DESEMBARGADOR FEDERAL SOUZA PRUDENTE</w:t>
            </w:r>
          </w:p>
        </w:tc>
      </w:tr>
      <w:tr w:rsidR="0000017A" w:rsidRPr="0000017A" w:rsidTr="0000017A">
        <w:tc>
          <w:tcPr>
            <w:tcW w:w="2000" w:type="dxa"/>
            <w:shd w:val="clear" w:color="auto" w:fill="auto"/>
          </w:tcPr>
          <w:p w:rsidR="0000017A" w:rsidRPr="0000017A" w:rsidRDefault="0000017A" w:rsidP="0000017A">
            <w:pPr>
              <w:pStyle w:val="Identificao"/>
            </w:pPr>
            <w:r w:rsidRPr="0000017A">
              <w:t>AGRAVANTE</w:t>
            </w:r>
          </w:p>
        </w:tc>
        <w:tc>
          <w:tcPr>
            <w:tcW w:w="300" w:type="dxa"/>
            <w:shd w:val="clear" w:color="auto" w:fill="auto"/>
          </w:tcPr>
          <w:p w:rsidR="0000017A" w:rsidRPr="0000017A" w:rsidRDefault="0000017A" w:rsidP="0000017A">
            <w:pPr>
              <w:pStyle w:val="Identificao"/>
            </w:pPr>
            <w:r w:rsidRPr="0000017A">
              <w:t>:</w:t>
            </w:r>
          </w:p>
        </w:tc>
        <w:tc>
          <w:tcPr>
            <w:tcW w:w="7600" w:type="dxa"/>
            <w:shd w:val="clear" w:color="auto" w:fill="auto"/>
          </w:tcPr>
          <w:p w:rsidR="0000017A" w:rsidRPr="0000017A" w:rsidRDefault="0000017A" w:rsidP="0000017A">
            <w:pPr>
              <w:pStyle w:val="Identificao"/>
            </w:pPr>
            <w:r w:rsidRPr="0000017A">
              <w:t xml:space="preserve">ESTADO DO PARA </w:t>
            </w:r>
          </w:p>
        </w:tc>
      </w:tr>
      <w:tr w:rsidR="0000017A" w:rsidRPr="0000017A" w:rsidTr="0000017A">
        <w:tc>
          <w:tcPr>
            <w:tcW w:w="2000" w:type="dxa"/>
            <w:shd w:val="clear" w:color="auto" w:fill="auto"/>
          </w:tcPr>
          <w:p w:rsidR="0000017A" w:rsidRPr="0000017A" w:rsidRDefault="0000017A" w:rsidP="0000017A">
            <w:pPr>
              <w:pStyle w:val="Identificao"/>
            </w:pPr>
            <w:r w:rsidRPr="0000017A">
              <w:t>PROCURADOR</w:t>
            </w:r>
          </w:p>
        </w:tc>
        <w:tc>
          <w:tcPr>
            <w:tcW w:w="300" w:type="dxa"/>
            <w:shd w:val="clear" w:color="auto" w:fill="auto"/>
          </w:tcPr>
          <w:p w:rsidR="0000017A" w:rsidRPr="0000017A" w:rsidRDefault="0000017A" w:rsidP="0000017A">
            <w:pPr>
              <w:pStyle w:val="Identificao"/>
            </w:pPr>
            <w:r w:rsidRPr="0000017A">
              <w:t>:</w:t>
            </w:r>
          </w:p>
        </w:tc>
        <w:tc>
          <w:tcPr>
            <w:tcW w:w="7600" w:type="dxa"/>
            <w:shd w:val="clear" w:color="auto" w:fill="auto"/>
          </w:tcPr>
          <w:p w:rsidR="0000017A" w:rsidRPr="0000017A" w:rsidRDefault="0000017A" w:rsidP="0000017A">
            <w:pPr>
              <w:pStyle w:val="Identificao"/>
            </w:pPr>
            <w:r w:rsidRPr="0000017A">
              <w:t xml:space="preserve">ROGERIO ARTHUR FRIZA CHAVES </w:t>
            </w:r>
          </w:p>
        </w:tc>
      </w:tr>
      <w:tr w:rsidR="0000017A" w:rsidRPr="0000017A" w:rsidTr="0000017A">
        <w:tc>
          <w:tcPr>
            <w:tcW w:w="2000" w:type="dxa"/>
            <w:shd w:val="clear" w:color="auto" w:fill="auto"/>
          </w:tcPr>
          <w:p w:rsidR="0000017A" w:rsidRPr="0000017A" w:rsidRDefault="0000017A" w:rsidP="0000017A">
            <w:pPr>
              <w:pStyle w:val="Identificao"/>
            </w:pPr>
            <w:r w:rsidRPr="0000017A">
              <w:t>AGRAVADO</w:t>
            </w:r>
          </w:p>
        </w:tc>
        <w:tc>
          <w:tcPr>
            <w:tcW w:w="300" w:type="dxa"/>
            <w:shd w:val="clear" w:color="auto" w:fill="auto"/>
          </w:tcPr>
          <w:p w:rsidR="0000017A" w:rsidRPr="0000017A" w:rsidRDefault="0000017A" w:rsidP="0000017A">
            <w:pPr>
              <w:pStyle w:val="Identificao"/>
            </w:pPr>
            <w:r w:rsidRPr="0000017A">
              <w:t>:</w:t>
            </w:r>
          </w:p>
        </w:tc>
        <w:tc>
          <w:tcPr>
            <w:tcW w:w="7600" w:type="dxa"/>
            <w:shd w:val="clear" w:color="auto" w:fill="auto"/>
          </w:tcPr>
          <w:p w:rsidR="0000017A" w:rsidRPr="0000017A" w:rsidRDefault="0000017A" w:rsidP="0000017A">
            <w:pPr>
              <w:pStyle w:val="Identificao"/>
            </w:pPr>
            <w:r w:rsidRPr="0000017A">
              <w:t xml:space="preserve">MINISTERIO PUBLICO FEDERAL </w:t>
            </w:r>
          </w:p>
        </w:tc>
      </w:tr>
      <w:tr w:rsidR="0000017A" w:rsidRPr="0000017A" w:rsidTr="0000017A">
        <w:tc>
          <w:tcPr>
            <w:tcW w:w="2000" w:type="dxa"/>
            <w:shd w:val="clear" w:color="auto" w:fill="auto"/>
          </w:tcPr>
          <w:p w:rsidR="0000017A" w:rsidRPr="0000017A" w:rsidRDefault="0000017A" w:rsidP="0000017A">
            <w:pPr>
              <w:pStyle w:val="Identificao"/>
            </w:pPr>
            <w:r w:rsidRPr="0000017A">
              <w:t>PROCURADOR</w:t>
            </w:r>
          </w:p>
        </w:tc>
        <w:tc>
          <w:tcPr>
            <w:tcW w:w="300" w:type="dxa"/>
            <w:shd w:val="clear" w:color="auto" w:fill="auto"/>
          </w:tcPr>
          <w:p w:rsidR="0000017A" w:rsidRPr="0000017A" w:rsidRDefault="0000017A" w:rsidP="0000017A">
            <w:pPr>
              <w:pStyle w:val="Identificao"/>
            </w:pPr>
            <w:r w:rsidRPr="0000017A">
              <w:t>:</w:t>
            </w:r>
          </w:p>
        </w:tc>
        <w:tc>
          <w:tcPr>
            <w:tcW w:w="7600" w:type="dxa"/>
            <w:shd w:val="clear" w:color="auto" w:fill="auto"/>
          </w:tcPr>
          <w:p w:rsidR="0000017A" w:rsidRPr="0000017A" w:rsidRDefault="0000017A" w:rsidP="0000017A">
            <w:pPr>
              <w:pStyle w:val="Identificao"/>
            </w:pPr>
            <w:r w:rsidRPr="0000017A">
              <w:t xml:space="preserve">FABIANA KEYLLA SHNEIDER </w:t>
            </w:r>
          </w:p>
        </w:tc>
      </w:tr>
      <w:tr w:rsidR="0000017A" w:rsidRPr="0000017A" w:rsidTr="0000017A">
        <w:tc>
          <w:tcPr>
            <w:tcW w:w="2000" w:type="dxa"/>
            <w:shd w:val="clear" w:color="auto" w:fill="auto"/>
          </w:tcPr>
          <w:p w:rsidR="0000017A" w:rsidRPr="0000017A" w:rsidRDefault="0000017A" w:rsidP="0000017A">
            <w:pPr>
              <w:pStyle w:val="Identificao"/>
            </w:pPr>
            <w:r w:rsidRPr="0000017A">
              <w:t>AGRAVADO</w:t>
            </w:r>
          </w:p>
        </w:tc>
        <w:tc>
          <w:tcPr>
            <w:tcW w:w="300" w:type="dxa"/>
            <w:shd w:val="clear" w:color="auto" w:fill="auto"/>
          </w:tcPr>
          <w:p w:rsidR="0000017A" w:rsidRPr="0000017A" w:rsidRDefault="0000017A" w:rsidP="0000017A">
            <w:pPr>
              <w:pStyle w:val="Identificao"/>
            </w:pPr>
            <w:r w:rsidRPr="0000017A">
              <w:t>:</w:t>
            </w:r>
          </w:p>
        </w:tc>
        <w:tc>
          <w:tcPr>
            <w:tcW w:w="7600" w:type="dxa"/>
            <w:shd w:val="clear" w:color="auto" w:fill="auto"/>
          </w:tcPr>
          <w:p w:rsidR="0000017A" w:rsidRPr="0000017A" w:rsidRDefault="0000017A" w:rsidP="0000017A">
            <w:pPr>
              <w:pStyle w:val="Identificao"/>
            </w:pPr>
            <w:r w:rsidRPr="0000017A">
              <w:t xml:space="preserve">MINISTERIO PUBLICO DO ESTADO DO PARA - MPPA </w:t>
            </w:r>
          </w:p>
        </w:tc>
      </w:tr>
      <w:tr w:rsidR="0000017A" w:rsidRPr="0000017A" w:rsidTr="0000017A">
        <w:tc>
          <w:tcPr>
            <w:tcW w:w="2000" w:type="dxa"/>
            <w:shd w:val="clear" w:color="auto" w:fill="auto"/>
          </w:tcPr>
          <w:p w:rsidR="0000017A" w:rsidRPr="0000017A" w:rsidRDefault="0000017A" w:rsidP="0000017A">
            <w:pPr>
              <w:pStyle w:val="Identificao"/>
            </w:pPr>
            <w:r w:rsidRPr="0000017A">
              <w:t>PROCURADOR</w:t>
            </w:r>
          </w:p>
        </w:tc>
        <w:tc>
          <w:tcPr>
            <w:tcW w:w="300" w:type="dxa"/>
            <w:shd w:val="clear" w:color="auto" w:fill="auto"/>
          </w:tcPr>
          <w:p w:rsidR="0000017A" w:rsidRPr="0000017A" w:rsidRDefault="0000017A" w:rsidP="0000017A">
            <w:pPr>
              <w:pStyle w:val="Identificao"/>
            </w:pPr>
            <w:r w:rsidRPr="0000017A">
              <w:t>:</w:t>
            </w:r>
          </w:p>
        </w:tc>
        <w:tc>
          <w:tcPr>
            <w:tcW w:w="7600" w:type="dxa"/>
            <w:shd w:val="clear" w:color="auto" w:fill="auto"/>
          </w:tcPr>
          <w:p w:rsidR="0000017A" w:rsidRPr="0000017A" w:rsidRDefault="0000017A" w:rsidP="0000017A">
            <w:pPr>
              <w:pStyle w:val="Identificao"/>
            </w:pPr>
            <w:r w:rsidRPr="0000017A">
              <w:t xml:space="preserve">IONE MISSAE DA SILVA </w:t>
            </w:r>
          </w:p>
        </w:tc>
      </w:tr>
    </w:tbl>
    <w:p w:rsidR="0000017A" w:rsidRDefault="0000017A" w:rsidP="0000017A">
      <w:pPr>
        <w:pStyle w:val="centralizar"/>
      </w:pPr>
      <w:r>
        <w:t>DECISÃO</w:t>
      </w:r>
    </w:p>
    <w:p w:rsidR="0000017A" w:rsidRDefault="0000017A" w:rsidP="0000017A">
      <w:pPr>
        <w:pStyle w:val="Pargrafo"/>
        <w:spacing w:before="0" w:after="0" w:line="360" w:lineRule="auto"/>
        <w:rPr>
          <w:sz w:val="26"/>
        </w:rPr>
      </w:pPr>
      <w:r>
        <w:rPr>
          <w:sz w:val="26"/>
        </w:rPr>
        <w:t xml:space="preserve">Cuida-se de agravo de instrumento, com pedido de efeito suspensivo, interposto contra decisão proferida pelo juízo da 2ª Vara Federal da Subseção Judiciária de Santarém/PA, nos autos da ação civil pública ajuizada pelo Ministério Público Federal e pelo Ministério Público do Estado do Pará contra a Empresa Brasileira de Portos de Santarém – EMBRAPS, a Agência Nacional de Transporte </w:t>
      </w:r>
      <w:proofErr w:type="spellStart"/>
      <w:r>
        <w:rPr>
          <w:sz w:val="26"/>
        </w:rPr>
        <w:t>Aquaviário</w:t>
      </w:r>
      <w:proofErr w:type="spellEnd"/>
      <w:r>
        <w:rPr>
          <w:sz w:val="26"/>
        </w:rPr>
        <w:t xml:space="preserve"> – ANAQ, o Estado do Pará e a União Federal, em que se busca a concessão de provimento judicial, no sentido de que seja determinada a suspensão do licenciamento ambiental para construção do Terminal Portuário da EMBRAPS, com previsão de instalação à margem direita do Rio Amazonas, no Município de Santarém/PA, até que seja realizada consulta prévia, livre e informada das comunidades quilombolas e demais populações tradicionais, localizadas na área de influência direta do empreendimento em referência.</w:t>
      </w:r>
    </w:p>
    <w:p w:rsidR="0000017A" w:rsidRDefault="0000017A" w:rsidP="0000017A">
      <w:pPr>
        <w:pStyle w:val="Pargrafo"/>
        <w:spacing w:before="0" w:after="0" w:line="360" w:lineRule="auto"/>
        <w:rPr>
          <w:sz w:val="26"/>
        </w:rPr>
      </w:pPr>
      <w:r>
        <w:rPr>
          <w:sz w:val="26"/>
        </w:rPr>
        <w:t>O juízo monocrático deferiu, em parte, o pedido de antecipação da tutela formulado nos aludidos autos, com estas letras:</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“Trata-se de ação civil pública proposta pelo MINISTÉRIO PÚBLICO FEDERAL e pelo MINISTÉRIO PÚBLICO DO ESTADO DO PARÁ em face da UNIÃO, do ESTADO DO PARÁ, da AGÊNCIA NACIONAL DE TRANSPORTES AQUAVIÁRIOS – ANTAQ e da EMPRESA BRASILEIRA DE PORTOS DE SANTARÉM LTDA – EMBRAPS.</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 xml:space="preserve">Requerem, liminarmente, que seja suspenso o processo de licenciamento ambiental do Terminal Portuário da </w:t>
      </w:r>
      <w:proofErr w:type="spellStart"/>
      <w:r>
        <w:rPr>
          <w:rFonts w:ascii="Arial" w:hAnsi="Arial" w:cs="Arial"/>
          <w:i/>
          <w:sz w:val="26"/>
          <w:szCs w:val="26"/>
        </w:rPr>
        <w:t>Embraps</w:t>
      </w:r>
      <w:proofErr w:type="spellEnd"/>
      <w:r>
        <w:rPr>
          <w:rFonts w:ascii="Arial" w:hAnsi="Arial" w:cs="Arial"/>
          <w:i/>
          <w:sz w:val="26"/>
          <w:szCs w:val="26"/>
        </w:rPr>
        <w:t xml:space="preserve"> e qualquer ato visando o empreendimento, até o julgamento desta demanda.</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lastRenderedPageBreak/>
        <w:t>Em síntese, sustentam que o procedimento de implantação do terminal portuário se encontra viciado porque o Estudo de Impacto Ambiental e o Relatório de Impacto Ambiental não previram corretamente a presença de comunidades tradicionais e quilombolas na área de influência do empreendimento e não foi providenciada a consulta prévia, livre e informada a estes grupos populacionais (Convenção OIT n. 169).</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À fl. 230, foi determinada a intimação das entidades públicas rés, para manifestação em 72 horas. Na oportunidade, determinou-se a intimação do INCRA e da FUNDAÇÃO PALMARES para manifestação de interesse em integrar o polo ativo.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Indeferiu-se, ainda, a intimação da Federação das Organizações Quilombolas em Santarém – FOQS.</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Manifestação da União às fls. 239-244. Sustenta a impossibilidade de o Poder Judiciário se substituir à Administração na análise do mérito administrativo. Quanto ao pedido, alega que para autorização da exploração do Terminal Portuário Privado deverá o interessado comprovar sua regularidade quanto ao licenciamento ambiental. Alega que, antes da autorização pela Secretaria Especial de Portos, há previsão somente de que o interessado apresente “termo de referência para estudos ambientais com vistas ao licenciamento ambiental”.</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A ANTAQ se manifesta às fls. 246-251. Sustenta sua ilegitimidade passiva, pois a competência para autorização seria de entidade diversa. Alega ainda que não cabe à ANTAQ apreciar o mérito do procedimento de licenciamento ambiental.</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Contestação da ANTAQ às fls. 307-317.</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Manifestação do Estado do Pará às fls. 330-333. Após relatar os procedimentos adotados no curso de licenciamento, alega que foram realizadas reuniões prévias, preparatórias à audiência pública relativa ao procedimento de licenciamento. Também alega que a ação pretende discutir o mérito do ato administrativo.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Relatados. Decido.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II - FUNDAMENTAÇÃO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Rejeito a alegação de ilegitimidade formulada pela ANTAQ. Conforme exposto pela própria Autarquia, em sua manifestação, compete à Agência receber e processar o requerimento de autorização, o qual posteriormente é encaminhado para a Secretaria Especial de Portos, para decisão. Não se trata de atividade meramente formal; compete à Agência avaliar se as normas procedimentais respectivas foram cumpridas. No caso, os autores alegam que, como parte integrante do procedimento, devem ser realizadas consultas prévias, livre e informadas à população atingida pelo empreendimento, ato essencial à validade da autorização.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O fato de os normativos internos da Autarquia não previrem tal procedimento (o qual consta de tratado de direitos humanos subscrito pelo Brasil) não afasta sua legitimidade para a demanda.</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lastRenderedPageBreak/>
        <w:t>Também rejeito a alegação formulada pela União e pelo Estado, no sentido de que a pretensão dos autores é discutir o mérito do ato administrativo.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Os autores se voltam contra o procedimento adotado pelas entidades rés. Como se sabe o procedimento é inerente à forma do ato administrativo, e não ao mérito (conveniência e oportunidade). É plenamente lícito ao Poder Judiciário avaliar, mesmo nos atos discricionários, se as formalidades procedimentais do ato foram observadas pela Administração.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Feitas tais considerações, passo ao mérito do pedido liminar.</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 xml:space="preserve">Trata-se de demanda na qual o MINISTÉRIO PÚBLICO FEDERAL alega vícios no procedimento de implantação de terminal portuário na grande área do </w:t>
      </w:r>
      <w:proofErr w:type="spellStart"/>
      <w:r>
        <w:rPr>
          <w:rFonts w:ascii="Arial" w:hAnsi="Arial" w:cs="Arial"/>
          <w:i/>
          <w:sz w:val="26"/>
          <w:szCs w:val="26"/>
        </w:rPr>
        <w:t>Maicá</w:t>
      </w:r>
      <w:proofErr w:type="spellEnd"/>
      <w:r>
        <w:rPr>
          <w:rFonts w:ascii="Arial" w:hAnsi="Arial" w:cs="Arial"/>
          <w:i/>
          <w:sz w:val="26"/>
          <w:szCs w:val="26"/>
        </w:rPr>
        <w:t>, na cidade de Santarém, ao argumento de que não foi providenciada a consulta prévia, livre e informada das comunidades tradicionais e quilombolas situadas na área de influência do empreendimento.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A influência do empreendimento em área ocupada por comunidades tradicionais e quilombolas está devidamente comprovada. O MPF trouxe aos autos documento elaborado pelo INCRA (fl. 132), o qual informa que há comunidades quilombolas incluídas na área de influência direta do empreendimento. Tal informação, oriunda do órgão oficial, tem o condão de inquinar o constante do Relatório de Impacto Ambiental (RIMA) elaborado no interesse da sociedade particular responsável pelo empreendimento, segundo o qual há apenas uma comunidade quilombola localizada nas proximidades, mas que não estaria inserida na área de influência direta do empreendimento (fl. 179-V).</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Conforme bem salientado pelos autores, conforme Portaria Interministerial n. 60/2015, dos Ministérios do Meio Ambiente, da Justiça, da Cultura e da Saúde, presume-se que há influência a comunidades quilombolas quando o empreendimento portuário, situado na Amazônia, estiver localizado a menos de 10 (dez) quilômetros destas. Ora, o próprio RIMA consigna que há comunidade quilombola a 4 (quatro) quilômetros do local de sua implantação.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Ademais, não é necessário conhecimento técnico para concluir que na área há também comunidades tradicionais (ribeirinhas), que retiram seu sustento do rio e tem forte vínculo social e cultural com o meio ambiente.</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A pretensão do MPF guarda amparo com a Convenção OIT n. 169, promulgada no Brasil pelo Decreto n. 5.051/2004, que possui caráter normativo supralegal (art. 5º, §2º, Constituição), dispondo da seguinte forma:</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1. Ao aplicar as disposições da presente Convenção, os governos</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deverão:</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a) consultar os povos interessados, mediante procedimentos apropriados e, particularmente, através de suas instituições representativas, cada vez que sejam previstas medidas legislativas ou administrativas suscetíveis de afetá-los diretamente;</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lastRenderedPageBreak/>
        <w:t>b) estabelecer os meios através dos quais os povos interessados possam participar livremente, pelo menos na mesma medida que outros setores da população e em todos os níveis, na adoção de decisões em instituições efetivas ou organismos administrativos e de outra natureza responsáveis pelas políticas e programas que lhes sejam concernentes;</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c) estabelecer os meios para o pleno desenvolvimento das instituições e iniciativas dos povos e, nos casos apropriados, fornecer os recursos necessários para esse fim.</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2. As consultas realizadas na aplicação desta Convenção deverão ser efetuadas com boa fé e de maneira apropriada às circunstâncias, com o objetivo de se chegar a um acordo e conseguir o consentimento acerca das medidas propostas.</w:t>
      </w:r>
    </w:p>
    <w:p w:rsidR="0000017A" w:rsidRDefault="0000017A" w:rsidP="0000017A">
      <w:pPr>
        <w:pStyle w:val="Pargrafo"/>
        <w:spacing w:before="0" w:after="0"/>
        <w:ind w:left="1418" w:firstLine="567"/>
        <w:rPr>
          <w:rFonts w:cs="Arial"/>
          <w:i/>
          <w:sz w:val="26"/>
          <w:szCs w:val="26"/>
        </w:rPr>
      </w:pPr>
    </w:p>
    <w:p w:rsidR="0000017A" w:rsidRDefault="0000017A" w:rsidP="0000017A">
      <w:pPr>
        <w:pStyle w:val="Pargrafo"/>
        <w:spacing w:before="0" w:after="0"/>
        <w:ind w:left="1418" w:firstLine="567"/>
        <w:rPr>
          <w:rFonts w:cs="Arial"/>
          <w:i/>
          <w:sz w:val="26"/>
          <w:szCs w:val="26"/>
        </w:rPr>
      </w:pPr>
      <w:r>
        <w:rPr>
          <w:rFonts w:cs="Arial"/>
          <w:i/>
          <w:sz w:val="26"/>
          <w:szCs w:val="26"/>
        </w:rPr>
        <w:t>Eis a base normativa para a consulta prévia, livre e informada.</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Cabe ressaltar que as disposições da referida Convenção da OIT se aplicam aos quilombolas e aos ribeirinhos. Esclarece a convenção, no seu artigo 1º, 1. “a”, que sua aplicação destina-se “aos povos tribais em países independentes, cujas condições sociais, culturais e econômicas os distingam de outros setores da coletividade nacional, e que estejam regidos, total ou parcialmente, por seus próprios costumes ou tradições ou por legislação especial”.</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A Constituição Federal assegura expressamente a proteção ao patrimônio imaterial consistente na cultura e modo de vida dos grupos formadores da sociedade brasileira. Dá especial tratamento às comunidades remanescentes de quilombos, vejamos:</w:t>
      </w:r>
    </w:p>
    <w:p w:rsidR="0000017A" w:rsidRDefault="0000017A" w:rsidP="0000017A">
      <w:pPr>
        <w:autoSpaceDE w:val="0"/>
        <w:autoSpaceDN w:val="0"/>
        <w:adjustRightInd w:val="0"/>
        <w:ind w:left="1985"/>
        <w:jc w:val="both"/>
        <w:rPr>
          <w:rFonts w:ascii="Arial" w:hAnsi="Arial" w:cs="Arial"/>
          <w:i/>
          <w:sz w:val="26"/>
          <w:szCs w:val="26"/>
        </w:rPr>
      </w:pP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Art. 215. O Estado garantirá a todos o pleno exercício dos direitos culturais e acesso às fontes da cultura nacional, e apoiará e incentivará a valorização e a difusão das manifestações culturais.</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 1º O Estado protegerá as manifestações das culturas populares, indígenas e afro-brasileiras, e das de outros grupos participantes do processo civilizatório nacional.</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Art. 216. Constituem patrimônio cultural brasileiro os bens de natureza material e imaterial, tomados individualmente ou em conjunto, portadores de referência à identidade, à ação, à memória dos diferentes grupos formadores da sociedade brasileira, nos quais se incluem:</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I - as formas de expressão;</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II - os modos de criar, fazer e viver;</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III - as criações científicas, artísticas e tecnológicas;</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IV - as obras, objetos, documentos, edificações e demais espaços destinados às manifestações artístico-culturais;</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V - os conjuntos urbanos e sítios de valor histórico, paisagístico, artístico, arqueológico, paleontológico, ecológico e científico.</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 xml:space="preserve">§ 1º O Poder Público, com a colaboração da comunidade, promoverá e protegerá o patrimônio cultural brasileiro, por meio de inventários, registros, vigilância, tombamento e </w:t>
      </w:r>
      <w:r>
        <w:rPr>
          <w:rFonts w:ascii="Arial" w:hAnsi="Arial" w:cs="Arial"/>
          <w:i/>
          <w:sz w:val="26"/>
          <w:szCs w:val="26"/>
        </w:rPr>
        <w:lastRenderedPageBreak/>
        <w:t>desapropriação, e de outras formas de acautelamento e preservação.</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 5º Ficam tombados todos os documentos e os sítios detentores de reminiscências históricas dos antigos quilombos.</w:t>
      </w:r>
    </w:p>
    <w:p w:rsidR="0000017A" w:rsidRDefault="0000017A" w:rsidP="0000017A">
      <w:pPr>
        <w:autoSpaceDE w:val="0"/>
        <w:autoSpaceDN w:val="0"/>
        <w:adjustRightInd w:val="0"/>
        <w:ind w:left="1418" w:firstLine="567"/>
        <w:jc w:val="both"/>
        <w:rPr>
          <w:rFonts w:ascii="Arial" w:hAnsi="Arial" w:cs="Arial"/>
          <w:i/>
          <w:sz w:val="26"/>
          <w:szCs w:val="26"/>
        </w:rPr>
      </w:pP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 xml:space="preserve">Quanto aos remanescentes de quilombos, com base no texto constitucional, conclui-se se inserem no conceito de comunidades tribais que a Convenção da OIT busca resguardar. Há plena coincidência entre os ditames do texto convencional (quanto à delimitação de sua aplicação aos povos com condições sociais, culturais e econômicas diferenciadas) com o disposto nos </w:t>
      </w:r>
      <w:proofErr w:type="spellStart"/>
      <w:r>
        <w:rPr>
          <w:rFonts w:ascii="Arial" w:hAnsi="Arial" w:cs="Arial"/>
          <w:i/>
          <w:sz w:val="26"/>
          <w:szCs w:val="26"/>
        </w:rPr>
        <w:t>arts</w:t>
      </w:r>
      <w:proofErr w:type="spellEnd"/>
      <w:r>
        <w:rPr>
          <w:rFonts w:ascii="Arial" w:hAnsi="Arial" w:cs="Arial"/>
          <w:i/>
          <w:sz w:val="26"/>
          <w:szCs w:val="26"/>
        </w:rPr>
        <w:t>. 215, §1º e 216, caput e §6º, da Constituição, que tratam das culturas afro-brasileiras e reminiscências históricas de quilombos.</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Mas também a convenção abrange outros grupos populacionais, como os ribeirinhos amazônicos. A eminente Juíza Federal JAIZA MARIA PINTO FRAXE, analisando as disposições da Convenção Sobre Diversidade Biológica e a Medida Provisória n. 2.186-16, que trata do acesso e exploração de recursos genéticos (e que também fazem referência à populações tradicionais), define quais grupos se enquadram no referido conceito:</w:t>
      </w:r>
    </w:p>
    <w:p w:rsidR="0000017A" w:rsidRDefault="0000017A" w:rsidP="0000017A">
      <w:pPr>
        <w:autoSpaceDE w:val="0"/>
        <w:autoSpaceDN w:val="0"/>
        <w:adjustRightInd w:val="0"/>
        <w:ind w:left="1418" w:firstLine="567"/>
        <w:jc w:val="both"/>
        <w:rPr>
          <w:rFonts w:ascii="Arial" w:hAnsi="Arial" w:cs="Arial"/>
          <w:i/>
          <w:sz w:val="26"/>
          <w:szCs w:val="26"/>
        </w:rPr>
      </w:pP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 xml:space="preserve">(...) comunidades tradicionais não são definidas por algum tipo de rol fechado, tratando-se de qualquer grupo humano com traços culturais peculiares, sistemas de manejo que respeitam os ciclos da natureza, mediante utilização de conhecimentos herdados de gerações passadas, que assim se declarem, não cabendo ao Direito negar-lhe identidade, a pretexto de preenchimento de cadastros e formulários definidos por quem não pertence a esses grupos. No ponto, segundo Diegues e Arruda (2001, p.25-26), hoje existem inúmeras comunidades tradicionais: </w:t>
      </w:r>
      <w:r>
        <w:rPr>
          <w:rFonts w:ascii="Arial" w:hAnsi="Arial" w:cs="Arial"/>
          <w:b/>
          <w:i/>
          <w:sz w:val="26"/>
          <w:szCs w:val="26"/>
        </w:rPr>
        <w:t xml:space="preserve">os açorianos, os </w:t>
      </w:r>
      <w:proofErr w:type="spellStart"/>
      <w:r>
        <w:rPr>
          <w:rFonts w:ascii="Arial" w:hAnsi="Arial" w:cs="Arial"/>
          <w:b/>
          <w:i/>
          <w:sz w:val="26"/>
          <w:szCs w:val="26"/>
        </w:rPr>
        <w:t>babaçueiros</w:t>
      </w:r>
      <w:proofErr w:type="spellEnd"/>
      <w:r>
        <w:rPr>
          <w:rFonts w:ascii="Arial" w:hAnsi="Arial" w:cs="Arial"/>
          <w:b/>
          <w:i/>
          <w:sz w:val="26"/>
          <w:szCs w:val="26"/>
        </w:rPr>
        <w:t xml:space="preserve">, os caboclos ribeirinhos amazônicos, os caiçaras, os caipiras sitiantes, os campeiros, os jangadeiros, pantaneiros, os pescadores artesanais, os praieiros, os quilombolas, os sertanejos/vaqueiros e </w:t>
      </w:r>
      <w:proofErr w:type="spellStart"/>
      <w:r>
        <w:rPr>
          <w:rFonts w:ascii="Arial" w:hAnsi="Arial" w:cs="Arial"/>
          <w:b/>
          <w:i/>
          <w:sz w:val="26"/>
          <w:szCs w:val="26"/>
        </w:rPr>
        <w:t>varjeiros</w:t>
      </w:r>
      <w:proofErr w:type="spellEnd"/>
      <w:r>
        <w:rPr>
          <w:rFonts w:ascii="Arial" w:hAnsi="Arial" w:cs="Arial"/>
          <w:b/>
          <w:i/>
          <w:sz w:val="26"/>
          <w:szCs w:val="26"/>
        </w:rPr>
        <w:t xml:space="preserve"> (ribeirinhos </w:t>
      </w:r>
      <w:proofErr w:type="spellStart"/>
      <w:r>
        <w:rPr>
          <w:rFonts w:ascii="Arial" w:hAnsi="Arial" w:cs="Arial"/>
          <w:b/>
          <w:i/>
          <w:sz w:val="26"/>
          <w:szCs w:val="26"/>
        </w:rPr>
        <w:t>não-amazônicos</w:t>
      </w:r>
      <w:proofErr w:type="spellEnd"/>
      <w:r>
        <w:rPr>
          <w:rFonts w:ascii="Arial" w:hAnsi="Arial" w:cs="Arial"/>
          <w:i/>
          <w:sz w:val="26"/>
          <w:szCs w:val="26"/>
        </w:rPr>
        <w:t>). A qualquer momento, novas surgirão, pois não há proibição para tanto. (Decisão n. 72-A/2014, Processo 0006962-86.2014.4.01.3200, proferida em 23/05/2014)</w:t>
      </w:r>
    </w:p>
    <w:p w:rsidR="0000017A" w:rsidRDefault="0000017A" w:rsidP="0000017A">
      <w:pPr>
        <w:autoSpaceDE w:val="0"/>
        <w:autoSpaceDN w:val="0"/>
        <w:adjustRightInd w:val="0"/>
        <w:ind w:left="1418" w:firstLine="567"/>
        <w:jc w:val="both"/>
        <w:rPr>
          <w:rFonts w:ascii="Arial" w:hAnsi="Arial" w:cs="Arial"/>
          <w:i/>
          <w:sz w:val="26"/>
          <w:szCs w:val="26"/>
        </w:rPr>
      </w:pP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A respeito da matéria, também trago à colação as considerações tecidas Desembargadora Federal SELENE MARIA DE ALMEIDA:</w:t>
      </w:r>
    </w:p>
    <w:p w:rsidR="0000017A" w:rsidRDefault="0000017A" w:rsidP="0000017A">
      <w:pPr>
        <w:pStyle w:val="Transcrio"/>
        <w:spacing w:before="0" w:after="0"/>
        <w:ind w:left="1985"/>
        <w:rPr>
          <w:sz w:val="26"/>
          <w:szCs w:val="26"/>
        </w:rPr>
      </w:pPr>
      <w:r>
        <w:rPr>
          <w:sz w:val="26"/>
          <w:szCs w:val="26"/>
        </w:rPr>
        <w:t>O povo tradicional não é apenas o índio. Em termos antropológicos cresce a consciência de que há várias culturas com identidade própria, com as quais se estabelece uma unidade nacional em razão da religião cristã e da língua comum.</w:t>
      </w:r>
    </w:p>
    <w:p w:rsidR="0000017A" w:rsidRDefault="0000017A" w:rsidP="0000017A">
      <w:pPr>
        <w:pStyle w:val="Transcrio"/>
        <w:spacing w:before="0" w:after="0"/>
        <w:ind w:left="1985"/>
        <w:rPr>
          <w:sz w:val="26"/>
          <w:szCs w:val="26"/>
        </w:rPr>
      </w:pPr>
      <w:r>
        <w:rPr>
          <w:sz w:val="26"/>
          <w:szCs w:val="26"/>
        </w:rPr>
        <w:t xml:space="preserve">No território da jurisdição do Tribunal Regional Federal da Primeira Região, encontramos grupos tradicionais que foram alcançados pelo processo de modernização desigual em áreas isoladas, como os jangadeiros do sul da Bahia, os caboclos, </w:t>
      </w:r>
      <w:r>
        <w:rPr>
          <w:sz w:val="26"/>
          <w:szCs w:val="26"/>
        </w:rPr>
        <w:lastRenderedPageBreak/>
        <w:t xml:space="preserve">ribeirinhos amazônicos, sertanejos/vaqueiros do Piauí e do oeste da Bahia, os varzeiros, ribeirinhos que vivem as margens do rio São Francisco, os pantaneiros do Mato Grosso e Mato Grosso do Sul, os quilombolas, os </w:t>
      </w:r>
      <w:proofErr w:type="spellStart"/>
      <w:r>
        <w:rPr>
          <w:sz w:val="26"/>
          <w:szCs w:val="26"/>
        </w:rPr>
        <w:t>babacueiros</w:t>
      </w:r>
      <w:proofErr w:type="spellEnd"/>
      <w:r>
        <w:rPr>
          <w:sz w:val="26"/>
          <w:szCs w:val="26"/>
        </w:rPr>
        <w:t xml:space="preserve"> no Maranhão, Piauí e norte de Goiás. Os praieiros habitam a faixa litorânea da região amazônica entre o Piauí e o Amapá. Vivem em grandes extensões de mangue e ilhas.</w:t>
      </w:r>
    </w:p>
    <w:p w:rsidR="0000017A" w:rsidRDefault="0000017A" w:rsidP="0000017A">
      <w:pPr>
        <w:pStyle w:val="Transcrio"/>
        <w:spacing w:before="0" w:after="0"/>
        <w:ind w:left="1985"/>
        <w:rPr>
          <w:sz w:val="26"/>
          <w:szCs w:val="26"/>
        </w:rPr>
      </w:pPr>
      <w:r>
        <w:rPr>
          <w:sz w:val="26"/>
          <w:szCs w:val="26"/>
        </w:rPr>
        <w:t>(...)</w:t>
      </w:r>
    </w:p>
    <w:p w:rsidR="0000017A" w:rsidRDefault="0000017A" w:rsidP="0000017A">
      <w:pPr>
        <w:pStyle w:val="Transcrio"/>
        <w:spacing w:before="0" w:after="0"/>
        <w:ind w:left="1985"/>
        <w:rPr>
          <w:sz w:val="26"/>
          <w:szCs w:val="26"/>
        </w:rPr>
      </w:pPr>
      <w:r>
        <w:rPr>
          <w:sz w:val="26"/>
          <w:szCs w:val="26"/>
        </w:rPr>
        <w:t xml:space="preserve">As populações tradicionais </w:t>
      </w:r>
      <w:proofErr w:type="spellStart"/>
      <w:r>
        <w:rPr>
          <w:sz w:val="26"/>
          <w:szCs w:val="26"/>
        </w:rPr>
        <w:t>não-indígenas</w:t>
      </w:r>
      <w:proofErr w:type="spellEnd"/>
      <w:r>
        <w:rPr>
          <w:sz w:val="26"/>
          <w:szCs w:val="26"/>
        </w:rPr>
        <w:t xml:space="preserve"> da Amazônia vivem de atividades extrativistas. Os ribeirinhos habitam nas várzeas e beiras de rios, sobrevivendo essencialmente da pesca. Alguns seringueiros, e castanheiros habitam também à beira de rios, igapós e igarapés, contudo outros vivem em terra, sendo menos dependente da pesca.</w:t>
      </w:r>
    </w:p>
    <w:p w:rsidR="0000017A" w:rsidRDefault="0000017A" w:rsidP="0000017A">
      <w:pPr>
        <w:pStyle w:val="Transcrio"/>
        <w:spacing w:before="0" w:after="0"/>
        <w:ind w:left="1985"/>
        <w:rPr>
          <w:sz w:val="26"/>
          <w:szCs w:val="26"/>
        </w:rPr>
      </w:pPr>
      <w:r>
        <w:rPr>
          <w:sz w:val="26"/>
          <w:szCs w:val="26"/>
        </w:rPr>
        <w:t>“Os caboclos/ribeirinhos vivem, principalmente, à beira de igarapés, igapós, lagos e várzeas. Quando as chuvas enchem os rios e riachos, estes inundam lagos e pântanos, marcando o período das cheias, que por sua vez regula a vida dos caboclos. Esse ciclo sazonal rege as atividades de extrativismo vegetal, agricultura e pesca dos habitantes da região (</w:t>
      </w:r>
      <w:proofErr w:type="spellStart"/>
      <w:r>
        <w:rPr>
          <w:sz w:val="26"/>
          <w:szCs w:val="26"/>
        </w:rPr>
        <w:t>Mybury-Lewis</w:t>
      </w:r>
      <w:proofErr w:type="spellEnd"/>
      <w:r>
        <w:rPr>
          <w:sz w:val="26"/>
          <w:szCs w:val="26"/>
        </w:rPr>
        <w:t xml:space="preserve"> 1997). Quando começa a cheia torna-se impossível fazer roça e mesmo a pesca e a caça tornam-se mais difíceis. Esses caboclos são extrativistas e agricultores que produzem em regime familiar, vendendo o excedente e, </w:t>
      </w:r>
      <w:proofErr w:type="spellStart"/>
      <w:r>
        <w:rPr>
          <w:sz w:val="26"/>
          <w:szCs w:val="26"/>
        </w:rPr>
        <w:t>freqüentemente</w:t>
      </w:r>
      <w:proofErr w:type="spellEnd"/>
      <w:r>
        <w:rPr>
          <w:sz w:val="26"/>
          <w:szCs w:val="26"/>
        </w:rPr>
        <w:t>, em períodos de maior demanda de força de trabalho lançam mão da troca de dias entre vizinhos. Como os sítios ocupam as beiras dos rios, os ribeirinhos podem tirar proveito das várzeas, colhendo produtos alimentícios, principalmente a mandioca, mas também frutas e ervas medicinais. Nas florestas, extraem o látex para a venda e também a castanha do Pará, além de criar pequenos animais domésticos e alguns deles têm também algumas cabeças de gado. Moram em casas de madeira, construídas em palafita, mais adaptadas ao sistema das cheias.”</w:t>
      </w:r>
    </w:p>
    <w:p w:rsidR="0000017A" w:rsidRDefault="0000017A" w:rsidP="0000017A">
      <w:pPr>
        <w:pStyle w:val="Transcrio"/>
        <w:spacing w:before="0" w:after="0"/>
        <w:ind w:left="1985"/>
        <w:rPr>
          <w:sz w:val="26"/>
          <w:szCs w:val="26"/>
        </w:rPr>
      </w:pPr>
      <w:r>
        <w:rPr>
          <w:sz w:val="26"/>
          <w:szCs w:val="26"/>
        </w:rPr>
        <w:t>Os ribeirinhos são, portanto, a população rural fluvial. É uma população com traços indígenas. Habitam em pequenas comunidades relativamente isoladas. A estrutura social de suas famílias se sobrepõe ao sistema formal de representação política. O principal meio de transporte são pequenas canoas de madeira.</w:t>
      </w:r>
    </w:p>
    <w:p w:rsidR="0000017A" w:rsidRDefault="0000017A" w:rsidP="0000017A">
      <w:pPr>
        <w:pStyle w:val="Transcrio"/>
        <w:spacing w:before="0" w:after="0"/>
        <w:ind w:left="1985"/>
        <w:rPr>
          <w:sz w:val="26"/>
          <w:szCs w:val="26"/>
        </w:rPr>
      </w:pPr>
      <w:r>
        <w:rPr>
          <w:sz w:val="26"/>
          <w:szCs w:val="26"/>
        </w:rPr>
        <w:t xml:space="preserve">“Os ribeirinhos não são proprietários das terras que moram. São raros os títulos de propriedade privada e, geralmente, tratam-se de terras devolutas. Alguns desses ribeirinhos são posseiros, que cultivam nas terras de outros ou na zona da várzea, têm apropriação do produto do trabalho, mas não a propriedade da terra. Por outro lado, as terras da várzea, que inundam periodicamente, não podem ser registradas em cartório de acordo com os princípios da legislação brasileira.” </w:t>
      </w:r>
    </w:p>
    <w:p w:rsidR="0000017A" w:rsidRDefault="0000017A" w:rsidP="0000017A">
      <w:pPr>
        <w:pStyle w:val="Transcrio"/>
        <w:spacing w:before="0" w:after="0"/>
        <w:ind w:left="1985"/>
        <w:rPr>
          <w:sz w:val="26"/>
          <w:szCs w:val="26"/>
        </w:rPr>
      </w:pPr>
      <w:r>
        <w:rPr>
          <w:sz w:val="26"/>
          <w:szCs w:val="26"/>
        </w:rPr>
        <w:t xml:space="preserve">(Gabriela O. Alvarez e Nicolas </w:t>
      </w:r>
      <w:proofErr w:type="spellStart"/>
      <w:r>
        <w:rPr>
          <w:sz w:val="26"/>
          <w:szCs w:val="26"/>
        </w:rPr>
        <w:t>Reynard</w:t>
      </w:r>
      <w:proofErr w:type="spellEnd"/>
      <w:r>
        <w:rPr>
          <w:sz w:val="26"/>
          <w:szCs w:val="26"/>
        </w:rPr>
        <w:t>, in Amazônia Cidadã).</w:t>
      </w:r>
    </w:p>
    <w:p w:rsidR="0000017A" w:rsidRDefault="0000017A" w:rsidP="0000017A">
      <w:pPr>
        <w:pStyle w:val="Transcrio"/>
        <w:spacing w:before="0" w:after="0"/>
        <w:ind w:left="1985"/>
        <w:rPr>
          <w:sz w:val="26"/>
          <w:szCs w:val="26"/>
        </w:rPr>
      </w:pPr>
      <w:r>
        <w:rPr>
          <w:sz w:val="26"/>
          <w:szCs w:val="26"/>
        </w:rPr>
        <w:t>Essa população mestiça não é mais índio, mas também não se integra a sociedade nacional.</w:t>
      </w:r>
    </w:p>
    <w:p w:rsidR="0000017A" w:rsidRDefault="0000017A" w:rsidP="0000017A">
      <w:pPr>
        <w:pStyle w:val="Transcrio"/>
        <w:spacing w:before="0" w:after="0"/>
        <w:ind w:left="1985"/>
        <w:rPr>
          <w:sz w:val="26"/>
          <w:szCs w:val="26"/>
        </w:rPr>
      </w:pPr>
      <w:r>
        <w:rPr>
          <w:sz w:val="26"/>
          <w:szCs w:val="26"/>
        </w:rPr>
        <w:lastRenderedPageBreak/>
        <w:t>O conceito de população tradicional foi desenvolvido pela antropologia e não é imune de controvérsias. Relevante na caracterização desses agrupamentos humanos é que reproduzem historicamente sua forma de sobrevivência, de certa forma isolada, mantendo ao longo do tempo, as mesmas atividades de subsistência em espaço geográfico dependendo de ciclos da natureza e recursos naturais renováveis.</w:t>
      </w:r>
    </w:p>
    <w:p w:rsidR="0000017A" w:rsidRDefault="0000017A" w:rsidP="0000017A">
      <w:pPr>
        <w:pStyle w:val="Transcrio"/>
        <w:spacing w:before="0" w:after="0"/>
        <w:ind w:left="1985"/>
        <w:rPr>
          <w:sz w:val="26"/>
          <w:szCs w:val="26"/>
        </w:rPr>
      </w:pPr>
      <w:r>
        <w:rPr>
          <w:sz w:val="26"/>
          <w:szCs w:val="26"/>
        </w:rPr>
        <w:t xml:space="preserve">Alguns desses grupos têm mais ou menos visibilidade social, ou identidade pública. Os povos indígenas sempre foram objeto de peculiar atenção em virtude da significativa diferença que os separa da sociedade nacional, isto é, são anteriores à formação do Estado nacional e têm língua e religião distintas do colonizador e, depois, dos </w:t>
      </w:r>
      <w:proofErr w:type="spellStart"/>
      <w:r>
        <w:rPr>
          <w:sz w:val="26"/>
          <w:szCs w:val="26"/>
        </w:rPr>
        <w:t>neo-brasileiros</w:t>
      </w:r>
      <w:proofErr w:type="spellEnd"/>
      <w:r>
        <w:rPr>
          <w:sz w:val="26"/>
          <w:szCs w:val="26"/>
        </w:rPr>
        <w:t>.</w:t>
      </w:r>
    </w:p>
    <w:p w:rsidR="0000017A" w:rsidRDefault="0000017A" w:rsidP="0000017A">
      <w:pPr>
        <w:pStyle w:val="Transcrio"/>
        <w:spacing w:before="0" w:after="0"/>
        <w:ind w:left="1985"/>
        <w:rPr>
          <w:sz w:val="26"/>
          <w:szCs w:val="26"/>
        </w:rPr>
      </w:pPr>
      <w:r>
        <w:rPr>
          <w:sz w:val="26"/>
          <w:szCs w:val="26"/>
        </w:rPr>
        <w:t>Os povos tradicionais dedicados à extração de recursos pesqueiros, como os ribeirinhos da Amazônia, não têm visibilidade econômica ou simbólica e não dispõem de uma legislação que reconheça as peculiaridades do espaço natural que ocupam e no qual sobrevivem. Eles não ocupam um lugar privilegiado no discurso sócio-ambientalista, como ocorre com os indígenas. São os esquecidos.</w:t>
      </w:r>
    </w:p>
    <w:p w:rsidR="0000017A" w:rsidRDefault="0000017A" w:rsidP="0000017A">
      <w:pPr>
        <w:pStyle w:val="Transcrio"/>
        <w:spacing w:before="0" w:after="0"/>
        <w:ind w:left="1985"/>
        <w:rPr>
          <w:sz w:val="26"/>
          <w:szCs w:val="26"/>
        </w:rPr>
      </w:pPr>
      <w:r>
        <w:rPr>
          <w:sz w:val="26"/>
          <w:szCs w:val="26"/>
        </w:rPr>
        <w:t>(...)</w:t>
      </w:r>
    </w:p>
    <w:p w:rsidR="0000017A" w:rsidRDefault="0000017A" w:rsidP="0000017A">
      <w:pPr>
        <w:pStyle w:val="Transcrio"/>
        <w:spacing w:before="0" w:after="0"/>
        <w:ind w:left="1985"/>
        <w:rPr>
          <w:sz w:val="26"/>
          <w:szCs w:val="26"/>
        </w:rPr>
      </w:pPr>
      <w:r>
        <w:rPr>
          <w:sz w:val="26"/>
          <w:szCs w:val="26"/>
        </w:rPr>
        <w:t>Os ribeirinhos têm o direito à identidade cultural, devendo ser oferecidos meios para a manutenção de seu modo de vida e produção, repassados de geração em geração, de acordo com os ciclos da natureza. Não há uma palavra nestes autos sobre como se vai proporcionar às quatrocentas famílias de ribeirinhos condições de sobrevivência, pois necessitam de recursos florestais à pratica da pesca extrativista de forma sustentável. Nada se disse sobre em que locais e em que condições esse grupo será realocado. Tem-se que pensar em reassentamento em lugares que lhes propiciem condições análogas de sobrevivência, inclusive em relação ao modo de produção e aos conhecimentos tradicionais.</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(Voto da Relatora, AG 0017006-45.2006.4.01.0000 / PA, Rel. DESEMBARGADORA FEDERAL SELENE MARIA DE ALMEIDA, QUINTA TURMA, DJ p.147 de 05/02/2007)</w:t>
      </w:r>
    </w:p>
    <w:p w:rsidR="0000017A" w:rsidRDefault="0000017A" w:rsidP="0000017A">
      <w:pPr>
        <w:autoSpaceDE w:val="0"/>
        <w:autoSpaceDN w:val="0"/>
        <w:adjustRightInd w:val="0"/>
        <w:ind w:left="1418" w:firstLine="567"/>
        <w:jc w:val="both"/>
        <w:rPr>
          <w:rFonts w:ascii="Arial" w:hAnsi="Arial" w:cs="Arial"/>
          <w:i/>
          <w:sz w:val="26"/>
          <w:szCs w:val="26"/>
        </w:rPr>
      </w:pP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Evidentemente, com base em tal entendimento, as disposições da Convenção OIT n. 169 se aplicam aos remanescentes de quilombos e às comunidades ribeirinhas.</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 xml:space="preserve">No caso dos autos, temos que está evidenciado o não cumprimento do disposto na mencionada convenção, no caso posto à apreciação – instalação do complexo portuário na área do </w:t>
      </w:r>
      <w:proofErr w:type="spellStart"/>
      <w:r>
        <w:rPr>
          <w:rFonts w:ascii="Arial" w:hAnsi="Arial" w:cs="Arial"/>
          <w:i/>
          <w:sz w:val="26"/>
          <w:szCs w:val="26"/>
        </w:rPr>
        <w:t>Maicá</w:t>
      </w:r>
      <w:proofErr w:type="spellEnd"/>
      <w:r>
        <w:rPr>
          <w:rFonts w:ascii="Arial" w:hAnsi="Arial" w:cs="Arial"/>
          <w:i/>
          <w:sz w:val="26"/>
          <w:szCs w:val="26"/>
        </w:rPr>
        <w:t>.</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Em suas manifestações, as entidades públicas requeridas não informaram a adoção de qualquer providência para dar cumprimento ao disposto na convenção, quanto à consulta prévia, livre e informada às comunidades tradicionais.</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 xml:space="preserve">Ao reverso, verifico que o Estado do Pará expressamente reconheceu que tal procedimento não vem sendo levado a efeito. Para </w:t>
      </w:r>
      <w:r>
        <w:rPr>
          <w:rFonts w:ascii="Arial" w:hAnsi="Arial" w:cs="Arial"/>
          <w:i/>
          <w:sz w:val="26"/>
          <w:szCs w:val="26"/>
        </w:rPr>
        <w:lastRenderedPageBreak/>
        <w:t>tentar convencer o Juízo de que o procedimento de consulta está sendo realizado, informou que estão sendo realizadas reuniões prévias, antecedentes à audiência pública prevista no curso do licenciamento ambiental.</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A ANTAQ também informou que “o processo de outorga da EMBRAPS foi encaminhado à SEP no dia 29/01/2016 e recebido naquele Poder Concedente no dia 02/02/2016. Os autos já se encontram para celebração do contrato de adesão, caso deferida a outorga pretendida” (fl. 250).</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Porém, como bem exposto pelo MPF, o procedimento da consulta livre, prévia e informada deve ser adotado antes de qualquer conduta administrativa e também não se confunde com a audiência pública relativa ao procedimento de licenciamento ambiental, exigível nos casos em que previsto significativo impacto ambiental (prevista no art. 3º da Resolução CONAMA n. 237/1997).</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São institutos distintos, com escopos distintos. A consulta às comunidades tradicionais tem como finalidade assegurar a participação plena e efetiva destes grupos minoritários na tomada de decisões que possam afetar sua cultura e seu modo de viver. Devem ser realizadas antes de qualquer decisão administrativa, a fim de efetivamente possibilitar que os grupos tradicionais e minoritários exerçam influência na deliberação a ser tomada pelos órgãos oficiais.</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Diferente da audiência pública do procedimento de licenciamento ambiental, cuja finalidade é informar à sociedade em geral e fomentar a sua participação quanto aos impactos ambientais (art. 225 da Constituição).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Nesse sentido:</w:t>
      </w:r>
    </w:p>
    <w:p w:rsidR="0000017A" w:rsidRDefault="0000017A" w:rsidP="0000017A">
      <w:pPr>
        <w:autoSpaceDE w:val="0"/>
        <w:autoSpaceDN w:val="0"/>
        <w:adjustRightInd w:val="0"/>
        <w:ind w:left="1985"/>
        <w:jc w:val="both"/>
        <w:rPr>
          <w:rFonts w:ascii="Arial" w:hAnsi="Arial" w:cs="Arial"/>
          <w:i/>
          <w:sz w:val="26"/>
          <w:szCs w:val="26"/>
        </w:rPr>
      </w:pP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 xml:space="preserve">(...) 11. A audiência pública prevista no artigo 3º da Resolução CONAMA não se confunde com a consulta feita pelo Congresso Nacional nos termos da Constituição. 12. A FUNAI, os índios, ribeirinhos, comunidades urbanas, ambientalistas, religiosos </w:t>
      </w:r>
      <w:proofErr w:type="spellStart"/>
      <w:r>
        <w:rPr>
          <w:rFonts w:ascii="Arial" w:hAnsi="Arial" w:cs="Arial"/>
          <w:i/>
          <w:sz w:val="26"/>
          <w:szCs w:val="26"/>
        </w:rPr>
        <w:t>etc</w:t>
      </w:r>
      <w:proofErr w:type="spellEnd"/>
      <w:r>
        <w:rPr>
          <w:rFonts w:ascii="Arial" w:hAnsi="Arial" w:cs="Arial"/>
          <w:i/>
          <w:sz w:val="26"/>
          <w:szCs w:val="26"/>
        </w:rPr>
        <w:t>, todos podem ser ouvidos em audiência pública inserida no procedimento de licenciamento ambiental. Tal audiência realizada pelo IBAMA para colher subsídios tem natureza técnica. A consulta realizada pelo Congresso às comunidades indígenas afetadas por obras em suas terras tem por objetivo subsidiar a decisão política. (...)(AG 0017006-45.2006.4.01.0000 / PA, Rel. DESEMBARGADORA FEDERAL SELENE MARIA DE ALMEIDA, QUINTA TURMA, DJ p.147 de 05/02/2007)</w:t>
      </w:r>
    </w:p>
    <w:p w:rsidR="0000017A" w:rsidRDefault="0000017A" w:rsidP="0000017A">
      <w:pPr>
        <w:autoSpaceDE w:val="0"/>
        <w:autoSpaceDN w:val="0"/>
        <w:adjustRightInd w:val="0"/>
        <w:ind w:left="1418" w:firstLine="567"/>
        <w:jc w:val="both"/>
        <w:rPr>
          <w:rFonts w:ascii="Arial" w:hAnsi="Arial" w:cs="Arial"/>
          <w:i/>
          <w:sz w:val="26"/>
          <w:szCs w:val="26"/>
        </w:rPr>
      </w:pP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Pela manifestação das entidades rés, está evidenciado que tais preceitos não foram observados. O procedimento de outorga está prestes a ser concluído, sem que as populações tradicionais tenham sido consultadas a respeito.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Ainda, a respeito da matéria, quando à necessidade do procedimento de consulta prévia, livre e informada, precedente do Tribunal Regional Federal da 1ª Região, no sentido que a sua ausência leva à nulidade do procedimento administrativo:</w:t>
      </w:r>
    </w:p>
    <w:p w:rsidR="0000017A" w:rsidRDefault="0000017A" w:rsidP="0000017A">
      <w:pPr>
        <w:pStyle w:val="Transcrio"/>
        <w:ind w:left="1985"/>
        <w:rPr>
          <w:sz w:val="26"/>
          <w:szCs w:val="26"/>
        </w:rPr>
      </w:pPr>
    </w:p>
    <w:p w:rsidR="0000017A" w:rsidRDefault="0000017A" w:rsidP="0000017A">
      <w:pPr>
        <w:pStyle w:val="Transcrio"/>
        <w:ind w:left="1985"/>
        <w:rPr>
          <w:sz w:val="26"/>
          <w:szCs w:val="26"/>
        </w:rPr>
      </w:pPr>
      <w:r>
        <w:rPr>
          <w:sz w:val="26"/>
          <w:szCs w:val="26"/>
        </w:rPr>
        <w:t>PROCESSUAL. AGRAVO DE INSTRUMENTO. DESAPROPRIAÇÃO. IMPLANTAÇÃO DO PÓLO NAVAL DE MANAUS/AM. COMUNIDADES RIBEIRINHAS. CONSULTA PRÉVIA. OBRIGATORIEDADE. CONSTITUIÇÃO FEDERAL. CONVENÇÃO INTERNACIONAL. BRASIL. PAÍS SIGNATÁRIO. OBSERVÂNCIA. PRODUÇÃO DE PROVA PERICIAL COMPLEXA. NECESSIDADE.</w:t>
      </w:r>
    </w:p>
    <w:p w:rsidR="0000017A" w:rsidRDefault="0000017A" w:rsidP="0000017A">
      <w:pPr>
        <w:pStyle w:val="Transcrio"/>
        <w:ind w:left="1985"/>
        <w:rPr>
          <w:sz w:val="26"/>
          <w:szCs w:val="26"/>
        </w:rPr>
      </w:pPr>
      <w:r>
        <w:rPr>
          <w:sz w:val="26"/>
          <w:szCs w:val="26"/>
        </w:rPr>
        <w:t>1. Não foram infirmados no presente recurso os fundamentos da decisão agravada, que deram azo à determinação de que tanto a União quanto o INCRA não realizassem nenhuma transferência de seus imóveis, a qualquer título, para o Estado do Amazonas, além da proibição de retirar ou remover as comunidades ribeirinhas de suas terras durante o curso da ação civil pública em trâmite no Juízo de origem.</w:t>
      </w:r>
    </w:p>
    <w:p w:rsidR="0000017A" w:rsidRDefault="0000017A" w:rsidP="0000017A">
      <w:pPr>
        <w:pStyle w:val="Transcrio"/>
        <w:ind w:left="1985"/>
        <w:rPr>
          <w:sz w:val="26"/>
          <w:szCs w:val="26"/>
        </w:rPr>
      </w:pPr>
      <w:r>
        <w:rPr>
          <w:rFonts w:eastAsia="MS Mincho"/>
          <w:spacing w:val="-6"/>
          <w:sz w:val="26"/>
          <w:szCs w:val="26"/>
        </w:rPr>
        <w:t xml:space="preserve">2. Para a </w:t>
      </w:r>
      <w:r>
        <w:rPr>
          <w:sz w:val="26"/>
          <w:szCs w:val="26"/>
        </w:rPr>
        <w:t xml:space="preserve">implantação do </w:t>
      </w:r>
      <w:proofErr w:type="spellStart"/>
      <w:r>
        <w:rPr>
          <w:sz w:val="26"/>
          <w:szCs w:val="26"/>
        </w:rPr>
        <w:t>Pólo</w:t>
      </w:r>
      <w:proofErr w:type="spellEnd"/>
      <w:r>
        <w:rPr>
          <w:sz w:val="26"/>
          <w:szCs w:val="26"/>
        </w:rPr>
        <w:t xml:space="preserve"> Naval no Estado do Amazonas, faz-se necessária a observância às normas supralegais – Convenção 169 da OIT, Convenção da Diversidade Biológica e Declaração Universal Sobre a Diversidade Cultural, da qual o País é signatário –; constitucionais – artigos 215 e seu § 1º, 216, 231 e 232 –; e infraconstitucionais referentes à proteção dos direitos inerentes às populações tradicionais.</w:t>
      </w:r>
    </w:p>
    <w:p w:rsidR="0000017A" w:rsidRDefault="0000017A" w:rsidP="0000017A">
      <w:pPr>
        <w:pStyle w:val="Transcrio"/>
        <w:ind w:left="1985"/>
        <w:rPr>
          <w:sz w:val="26"/>
          <w:szCs w:val="26"/>
        </w:rPr>
      </w:pPr>
      <w:r>
        <w:rPr>
          <w:sz w:val="26"/>
          <w:szCs w:val="26"/>
        </w:rPr>
        <w:t xml:space="preserve">3. A ausência de consulta prévia e livre e consentimento claro das comunidades tradicionais envolvidas no processo expropriatório torna a implantação ilegal e ilegítima. </w:t>
      </w:r>
    </w:p>
    <w:p w:rsidR="0000017A" w:rsidRDefault="0000017A" w:rsidP="0000017A">
      <w:pPr>
        <w:pStyle w:val="Transcrio"/>
        <w:ind w:left="1985"/>
        <w:rPr>
          <w:rFonts w:eastAsia="MS Mincho"/>
          <w:spacing w:val="-6"/>
          <w:sz w:val="26"/>
          <w:szCs w:val="26"/>
        </w:rPr>
      </w:pPr>
      <w:r>
        <w:rPr>
          <w:sz w:val="26"/>
          <w:szCs w:val="26"/>
        </w:rPr>
        <w:t xml:space="preserve">4. Nas informações prestadas pelo Juízo de origem constata-se que a ação civil pública encontra-se conclusa para decisão em razão do Estado do Amazonas ter pugnado, na fase de especificação de provas, pela produção de prova pericial complexa, para fins de realização de exame, vistoria por parte de engenheiros ambientais e antropólogos, com o fito de serem fixados quais seriam os impactos a serem sofridos pelas comunidades ribeirinhas supostamente afetadas pela implantação do </w:t>
      </w:r>
      <w:proofErr w:type="spellStart"/>
      <w:r>
        <w:rPr>
          <w:sz w:val="26"/>
          <w:szCs w:val="26"/>
        </w:rPr>
        <w:t>Pólo</w:t>
      </w:r>
      <w:proofErr w:type="spellEnd"/>
      <w:r>
        <w:rPr>
          <w:sz w:val="26"/>
          <w:szCs w:val="26"/>
        </w:rPr>
        <w:t xml:space="preserve"> Naval e ainda, se haveria comunidade diretamente afetada pelo empreendimento.</w:t>
      </w:r>
    </w:p>
    <w:p w:rsidR="0000017A" w:rsidRDefault="0000017A" w:rsidP="0000017A">
      <w:pPr>
        <w:pStyle w:val="Transcrio"/>
        <w:ind w:left="1985"/>
        <w:rPr>
          <w:rFonts w:eastAsia="MS Mincho"/>
          <w:spacing w:val="-6"/>
          <w:sz w:val="26"/>
          <w:szCs w:val="26"/>
        </w:rPr>
      </w:pPr>
      <w:r>
        <w:rPr>
          <w:rFonts w:eastAsia="MS Mincho"/>
          <w:spacing w:val="-6"/>
          <w:sz w:val="26"/>
          <w:szCs w:val="26"/>
        </w:rPr>
        <w:t>5. Diante do quadro fático apresentado, afigura-se necessária a manutenção da decisão agravada.</w:t>
      </w:r>
    </w:p>
    <w:p w:rsidR="0000017A" w:rsidRDefault="0000017A" w:rsidP="0000017A">
      <w:pPr>
        <w:pStyle w:val="Transcrio"/>
        <w:ind w:left="1985"/>
      </w:pPr>
      <w:r>
        <w:rPr>
          <w:sz w:val="26"/>
          <w:szCs w:val="26"/>
        </w:rPr>
        <w:t>6. Agravo de instrumento da União não provido</w:t>
      </w:r>
      <w:r>
        <w:t>.</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(AG 0031507-23.2014.4.01.0000 / AM, Rel. DESEMBARGADOR FEDERAL NEY BELLO, TERCEIRA TURMA, e-DJF1 p.3172 de 12/06/2015)</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Destaco ainda, que consoante entendimento da instância superior ao interpretar o disposto na Convenção OIT n. 169, deve a Administração adotar as seguintes medidas no curso do procedimento de consulta livre, prévia e informada:</w:t>
      </w:r>
    </w:p>
    <w:p w:rsidR="0000017A" w:rsidRDefault="0000017A" w:rsidP="0000017A">
      <w:pPr>
        <w:autoSpaceDE w:val="0"/>
        <w:autoSpaceDN w:val="0"/>
        <w:adjustRightInd w:val="0"/>
        <w:ind w:left="1418" w:firstLine="567"/>
        <w:jc w:val="both"/>
        <w:rPr>
          <w:rFonts w:ascii="Arial" w:hAnsi="Arial" w:cs="Arial"/>
          <w:i/>
          <w:sz w:val="26"/>
          <w:szCs w:val="26"/>
        </w:rPr>
      </w:pP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lastRenderedPageBreak/>
        <w:t xml:space="preserve">As exigências fundamentais que a consulta instalada pelo Estado deve observar: 1) a oitiva da comunidade envolvida prévia, anterior à autorização do empreendimento; 2) os interlocutores da população indígena ou tribal que será afetada precisam ter legitimidade; 3) exige-se que se proceda a uma pré-consulta sobre o processo de consulta, tendo em vista a escolha dos interlocutores legitimados, o processo adequado, a duração da consulta, o local da oitiva, em cada caso, </w:t>
      </w:r>
      <w:proofErr w:type="spellStart"/>
      <w:r>
        <w:rPr>
          <w:rFonts w:ascii="Arial" w:hAnsi="Arial" w:cs="Arial"/>
          <w:i/>
          <w:sz w:val="26"/>
          <w:szCs w:val="26"/>
        </w:rPr>
        <w:t>etc</w:t>
      </w:r>
      <w:proofErr w:type="spellEnd"/>
      <w:r>
        <w:rPr>
          <w:rFonts w:ascii="Arial" w:hAnsi="Arial" w:cs="Arial"/>
          <w:i/>
          <w:sz w:val="26"/>
          <w:szCs w:val="26"/>
        </w:rPr>
        <w:t>; 4) a informação quanto ao procedimento também deve ser prévia, completa e independente, segundo o princípio da boa-fé; 5) o resultado da participação, opinião, sugestões quanto as medidas , ações mitigadoras e reparadoras dos danos causados com o empreendimento será refletida na decisão do Estado.</w:t>
      </w:r>
    </w:p>
    <w:p w:rsidR="0000017A" w:rsidRDefault="0000017A" w:rsidP="0000017A">
      <w:pPr>
        <w:autoSpaceDE w:val="0"/>
        <w:autoSpaceDN w:val="0"/>
        <w:adjustRightInd w:val="0"/>
        <w:ind w:left="1985"/>
        <w:jc w:val="both"/>
        <w:rPr>
          <w:rFonts w:ascii="Arial" w:hAnsi="Arial" w:cs="Arial"/>
          <w:i/>
          <w:sz w:val="26"/>
          <w:szCs w:val="26"/>
        </w:rPr>
      </w:pPr>
      <w:r>
        <w:rPr>
          <w:rFonts w:ascii="Arial" w:hAnsi="Arial" w:cs="Arial"/>
          <w:i/>
          <w:sz w:val="26"/>
          <w:szCs w:val="26"/>
        </w:rPr>
        <w:t>(Voto proferida pela Desembargadora Federal SELENE ALMEIDA na EDAC 0000709-88.2006.4.01.3903 / PA, Rel. DESEMBARGADOR FEDERAL SOUZA PRUDENTE, QUINTA TURMA, e-DJF1 p.316 de 27/08/2012)</w:t>
      </w:r>
    </w:p>
    <w:p w:rsidR="0000017A" w:rsidRDefault="0000017A" w:rsidP="0000017A">
      <w:pPr>
        <w:autoSpaceDE w:val="0"/>
        <w:autoSpaceDN w:val="0"/>
        <w:adjustRightInd w:val="0"/>
        <w:ind w:left="1418" w:firstLine="567"/>
        <w:jc w:val="both"/>
        <w:rPr>
          <w:rFonts w:ascii="Arial" w:hAnsi="Arial" w:cs="Arial"/>
          <w:i/>
          <w:sz w:val="26"/>
          <w:szCs w:val="26"/>
        </w:rPr>
      </w:pP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Lícito será o procedimento de instalação de complexo portuário em área que possa influenciar diretamente comunidades tradicionais apenas se observados os procedimentos acima.</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Assim, merece guarida o pleito liminar do MPF. Evidenciada a verossimilhança das alegações, consoante fundamentação acima.</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Também há risco de dano irreparável, pois, caso prossiga o procedimento de licenciamento ambiental, há risco concreto de que o empreendimento venha a ser implantado, com descumprimento do procedimento da consulta prévia. Caso as consultas sejam postergadas, eventual decisão judicial futura determinando a realização do ato poderá ser inócua, caso o empreendimento venha a ser efetivamente implantado.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Entretanto, não considero oportuno suspender, até o julgamento da ação, o licenciamento ambiental e os atos tendentes ao empreendimento, como requer o MPF. Caso os requeridos demonstrem, nos autos, o cumprimento do procedimento da consulta, possível que o licenciamento e a implantação do empreendimento tenham prosseguimento.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III - CONCLUSÃO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 xml:space="preserve">Pelo exposto, CONCEDO EM PARTE A LIMINAR, para DETERMINAR a suspensão do procedimento de licenciamento ambiental do terminal portuário da EMBRAPS – EMPRESA BRASILEIRA DE PORTOS DE SANTARÉM LTDA, na grande área do </w:t>
      </w:r>
      <w:proofErr w:type="spellStart"/>
      <w:r>
        <w:rPr>
          <w:rFonts w:ascii="Arial" w:hAnsi="Arial" w:cs="Arial"/>
          <w:i/>
          <w:sz w:val="26"/>
          <w:szCs w:val="26"/>
        </w:rPr>
        <w:t>Maicá</w:t>
      </w:r>
      <w:proofErr w:type="spellEnd"/>
      <w:r>
        <w:rPr>
          <w:rFonts w:ascii="Arial" w:hAnsi="Arial" w:cs="Arial"/>
          <w:i/>
          <w:sz w:val="26"/>
          <w:szCs w:val="26"/>
        </w:rPr>
        <w:t xml:space="preserve"> e de qualquer ato visando o empreendimento, até que seja demonstrada a efetiva realização do procedimento de consulta livre, prévia e informada às populações quilombolas e tradicionais situadas na sua área de influência direta.</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 xml:space="preserve">Deixo de arbitrar, no momento, </w:t>
      </w:r>
      <w:proofErr w:type="spellStart"/>
      <w:r>
        <w:rPr>
          <w:rFonts w:ascii="Arial" w:hAnsi="Arial" w:cs="Arial"/>
          <w:i/>
          <w:sz w:val="26"/>
          <w:szCs w:val="26"/>
        </w:rPr>
        <w:t>astreintes</w:t>
      </w:r>
      <w:proofErr w:type="spellEnd"/>
      <w:r>
        <w:rPr>
          <w:rFonts w:ascii="Arial" w:hAnsi="Arial" w:cs="Arial"/>
          <w:i/>
          <w:sz w:val="26"/>
          <w:szCs w:val="26"/>
        </w:rPr>
        <w:t>, as quais serão fixadas caso seja evidenciada recalcitrância no cumprimento desta decisão.</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lastRenderedPageBreak/>
        <w:t>Determino ainda que: a) seja diligenciada a citação da EMBRAPS no endereço situado nesta cidade, constante da inicial; b) após a apresentação das contestações, seja dada vista dos autos ao MPF.</w:t>
      </w:r>
    </w:p>
    <w:p w:rsidR="0000017A" w:rsidRDefault="0000017A" w:rsidP="0000017A">
      <w:pPr>
        <w:autoSpaceDE w:val="0"/>
        <w:autoSpaceDN w:val="0"/>
        <w:adjustRightInd w:val="0"/>
        <w:ind w:left="1418" w:firstLine="567"/>
        <w:jc w:val="both"/>
        <w:rPr>
          <w:rFonts w:ascii="Arial" w:hAnsi="Arial" w:cs="Arial"/>
          <w:i/>
          <w:sz w:val="26"/>
          <w:szCs w:val="26"/>
        </w:rPr>
      </w:pPr>
      <w:r>
        <w:rPr>
          <w:rFonts w:ascii="Arial" w:hAnsi="Arial" w:cs="Arial"/>
          <w:i/>
          <w:sz w:val="26"/>
          <w:szCs w:val="26"/>
        </w:rPr>
        <w:t>A seguir, intimem-se as partes para, fundamentadamente, indicarem as provas que pretendem produzir, justificando suas finalidades, no prazo de 5 (cinco) dias”.</w:t>
      </w:r>
    </w:p>
    <w:p w:rsidR="0000017A" w:rsidRDefault="0000017A" w:rsidP="0000017A">
      <w:pPr>
        <w:pStyle w:val="Pargrafo"/>
        <w:spacing w:before="0" w:after="0" w:line="360" w:lineRule="auto"/>
        <w:rPr>
          <w:sz w:val="26"/>
        </w:rPr>
      </w:pPr>
    </w:p>
    <w:p w:rsidR="0000017A" w:rsidRDefault="0000017A" w:rsidP="0000017A">
      <w:pPr>
        <w:pStyle w:val="Pargrafo"/>
        <w:spacing w:before="0" w:after="0" w:line="360" w:lineRule="auto"/>
        <w:rPr>
          <w:sz w:val="26"/>
        </w:rPr>
      </w:pPr>
      <w:r>
        <w:rPr>
          <w:sz w:val="26"/>
        </w:rPr>
        <w:t>Em suas razões recursais, sustenta o recorrente, em resumo, a regularidade do licenciamento do empreendimento descrito nos autos, pugnando pela suspensão dos efeitos da decisão agravada.</w:t>
      </w:r>
    </w:p>
    <w:p w:rsidR="0000017A" w:rsidRDefault="00704C5D" w:rsidP="0000017A">
      <w:pPr>
        <w:pStyle w:val="Pargrafo"/>
        <w:spacing w:before="0" w:after="0" w:line="360" w:lineRule="auto"/>
        <w:rPr>
          <w:sz w:val="26"/>
        </w:rPr>
      </w:pPr>
      <w:r>
        <w:rPr>
          <w:sz w:val="26"/>
        </w:rPr>
        <w:t>Os presentes auto</w:t>
      </w:r>
      <w:r w:rsidR="0000017A">
        <w:rPr>
          <w:sz w:val="26"/>
        </w:rPr>
        <w:t>s vieram-me distribuídos, por dependência, em face da prevenção gerada pela anterior distribuição do AI nº 0027843-13.201.4.01.0000, interposto pela Empresa Brasileira de Portos de Santarém – EMBRAPS contra a mesma decisão aqui impugnada.</w:t>
      </w:r>
    </w:p>
    <w:p w:rsidR="0000017A" w:rsidRDefault="0000017A" w:rsidP="0000017A">
      <w:pPr>
        <w:pStyle w:val="centralizar"/>
      </w:pPr>
      <w:r>
        <w:t>***</w:t>
      </w:r>
    </w:p>
    <w:p w:rsidR="0000017A" w:rsidRDefault="0000017A" w:rsidP="0000017A">
      <w:pPr>
        <w:pStyle w:val="Pargrafo"/>
        <w:spacing w:before="0" w:after="0" w:line="360" w:lineRule="auto"/>
        <w:rPr>
          <w:sz w:val="26"/>
        </w:rPr>
      </w:pPr>
      <w:r>
        <w:rPr>
          <w:sz w:val="26"/>
        </w:rPr>
        <w:t>Ao examinar a tutela recursal formulada nos autos do mencionado AI nº 0027843-13.201.4.01.0000, pronunciei-me com estas letras:</w:t>
      </w:r>
    </w:p>
    <w:p w:rsidR="0000017A" w:rsidRPr="0000017A" w:rsidRDefault="0000017A" w:rsidP="0000017A">
      <w:pPr>
        <w:pStyle w:val="Pargrafo"/>
        <w:spacing w:before="0" w:after="0"/>
        <w:ind w:left="1418" w:firstLine="567"/>
        <w:rPr>
          <w:i/>
          <w:sz w:val="26"/>
        </w:rPr>
      </w:pPr>
      <w:r w:rsidRPr="0000017A">
        <w:rPr>
          <w:i/>
          <w:sz w:val="26"/>
        </w:rPr>
        <w:t>“(...)</w:t>
      </w:r>
    </w:p>
    <w:p w:rsidR="0000017A" w:rsidRPr="0000017A" w:rsidRDefault="0000017A" w:rsidP="0000017A">
      <w:pPr>
        <w:pStyle w:val="Pargrafo"/>
        <w:spacing w:before="0" w:after="0"/>
        <w:ind w:left="1418" w:firstLine="567"/>
        <w:rPr>
          <w:i/>
          <w:sz w:val="26"/>
        </w:rPr>
      </w:pPr>
      <w:r w:rsidRPr="0000017A">
        <w:rPr>
          <w:i/>
          <w:sz w:val="26"/>
        </w:rPr>
        <w:t xml:space="preserve">Não obstante os fundamentos deduzidos pela recorrente, não vejo presentes, na espécie, os pressupostos do art. 1019, I, do CPC, a autorizar a pretendida antecipação da tutela recursal, na medida em que não conseguem infirmar as lúcidas razões em que se amparou a decisão agravada, notadamente, em face do seu caráter nitidamente </w:t>
      </w:r>
      <w:proofErr w:type="spellStart"/>
      <w:r w:rsidRPr="0000017A">
        <w:rPr>
          <w:i/>
          <w:sz w:val="26"/>
        </w:rPr>
        <w:t>precautivo</w:t>
      </w:r>
      <w:proofErr w:type="spellEnd"/>
      <w:r w:rsidRPr="0000017A">
        <w:rPr>
          <w:i/>
          <w:sz w:val="26"/>
        </w:rPr>
        <w:t>, e, por isso, compatível com a tutela cautelar do agravo, manifestada nas letras e na inteligência do referido dispositivo legal.</w:t>
      </w:r>
    </w:p>
    <w:p w:rsidR="0000017A" w:rsidRPr="0000017A" w:rsidRDefault="0000017A" w:rsidP="0000017A">
      <w:pPr>
        <w:pStyle w:val="Pargrafo"/>
        <w:spacing w:before="0" w:after="0"/>
        <w:ind w:left="1418" w:firstLine="567"/>
        <w:rPr>
          <w:i/>
          <w:sz w:val="26"/>
        </w:rPr>
      </w:pPr>
      <w:r w:rsidRPr="0000017A">
        <w:rPr>
          <w:i/>
          <w:sz w:val="26"/>
        </w:rPr>
        <w:t>Com efeito, conforme bem consignou o juízo monocrático, a consulta prévia, livre e informada às comunidades quilombolas e às demais populações tradicionais, localizadas na área de influência direta do empreendimento em referência não se efetivou, em manifesta violação às normas da mencionada Convenção 169/OIT, fato esse, inclusive, expressamente confessado pela agravante, em sua peça recursal, na dicção de que essa consulta estaria sendo feita, como condicionante do licenciamento ambiental do empreendimento descrito nos autos.</w:t>
      </w:r>
    </w:p>
    <w:p w:rsidR="0000017A" w:rsidRPr="0000017A" w:rsidRDefault="0000017A" w:rsidP="0000017A">
      <w:pPr>
        <w:pStyle w:val="Pargrafo"/>
        <w:spacing w:before="0" w:after="0"/>
        <w:ind w:left="1418" w:firstLine="567"/>
        <w:rPr>
          <w:i/>
          <w:sz w:val="26"/>
        </w:rPr>
      </w:pPr>
      <w:r w:rsidRPr="0000017A">
        <w:rPr>
          <w:i/>
          <w:sz w:val="26"/>
        </w:rPr>
        <w:t xml:space="preserve">De ver-se, porém, que, em se tratando de </w:t>
      </w:r>
      <w:r w:rsidRPr="0000017A">
        <w:rPr>
          <w:b/>
          <w:i/>
          <w:sz w:val="26"/>
        </w:rPr>
        <w:t xml:space="preserve">consulta prévia, </w:t>
      </w:r>
      <w:r w:rsidRPr="0000017A">
        <w:rPr>
          <w:i/>
          <w:sz w:val="26"/>
        </w:rPr>
        <w:t xml:space="preserve">a sua realização haverá de preceder o próprio ato de autorização do empreendimento, hipótese não ocorrida, na espécie, não se podendo admitir a sua inclusão como mera condicionante a ser cumprida durante o respectivo licenciamento ambiental, por se tratar de condição </w:t>
      </w:r>
      <w:proofErr w:type="spellStart"/>
      <w:r w:rsidRPr="0000017A">
        <w:rPr>
          <w:b/>
          <w:i/>
          <w:sz w:val="26"/>
        </w:rPr>
        <w:t>sine</w:t>
      </w:r>
      <w:proofErr w:type="spellEnd"/>
      <w:r w:rsidRPr="0000017A">
        <w:rPr>
          <w:b/>
          <w:i/>
          <w:sz w:val="26"/>
        </w:rPr>
        <w:t xml:space="preserve"> </w:t>
      </w:r>
      <w:proofErr w:type="spellStart"/>
      <w:r w:rsidRPr="0000017A">
        <w:rPr>
          <w:b/>
          <w:i/>
          <w:sz w:val="26"/>
        </w:rPr>
        <w:t>qua</w:t>
      </w:r>
      <w:proofErr w:type="spellEnd"/>
      <w:r w:rsidRPr="0000017A">
        <w:rPr>
          <w:b/>
          <w:i/>
          <w:sz w:val="26"/>
        </w:rPr>
        <w:t xml:space="preserve"> </w:t>
      </w:r>
      <w:proofErr w:type="spellStart"/>
      <w:r w:rsidRPr="0000017A">
        <w:rPr>
          <w:b/>
          <w:i/>
          <w:sz w:val="26"/>
        </w:rPr>
        <w:t>non</w:t>
      </w:r>
      <w:proofErr w:type="spellEnd"/>
      <w:r w:rsidRPr="0000017A">
        <w:rPr>
          <w:i/>
          <w:sz w:val="26"/>
        </w:rPr>
        <w:t xml:space="preserve"> para a sua realização, conforme, inclusive, já decidiu este egrégio Tribunal, em caso similar, nestes termos:</w:t>
      </w:r>
    </w:p>
    <w:p w:rsidR="0000017A" w:rsidRPr="0000017A" w:rsidRDefault="0000017A" w:rsidP="0000017A">
      <w:pPr>
        <w:pStyle w:val="Transcrio"/>
        <w:ind w:left="1985"/>
        <w:rPr>
          <w:sz w:val="26"/>
          <w:szCs w:val="26"/>
        </w:rPr>
      </w:pPr>
      <w:r w:rsidRPr="0000017A">
        <w:rPr>
          <w:sz w:val="26"/>
          <w:szCs w:val="26"/>
        </w:rPr>
        <w:lastRenderedPageBreak/>
        <w:t xml:space="preserve">CONSTITUCIONAL, ADMINISTRATIVO, AMBIENTAL E PROCESSUAL CIVIL. AÇÃO CIVIL PÚBLICA. EMBARGOS DE DECLARAÇÃO. EXPLORAÇÃO DE RECURSOS ENERGÉTICOS EM ÁREA INDÍGENA. USINA HIDRELÉTRICA DE BELO MONTE, NO ESTADO DO PARÁ. AUTORIZAÇÃO DO CONGRESSO NACIONAL (DECRETO LEGISLATIVO Nº. 788/2005) DESPROVIDA DE AUDIÊNCIA PRÉVIA DAS COMUNIDADES INDÍGENAS AFETADAS. VIOLAÇÃO À NORMA DO § 3º DO ART. 231 DA CONSTITUIÇÃO FEDERAL C/C OS ARTS. 3º, ITEM 1, 4º, ITENS 1 E 2, 6º, ITEM 1, ALÍNEAS A, B, E C, E 2; 7º, ITENS 1, 2 E 4; 13, ITEM 1; 14, ITEM 1; E 15, ITENS 1 E 2, DA CONVENÇÃO Nº. 169/OIT. NULIDADE. OMISSÃO DO JULGADO. OCORRÊNCIA. EFEITOS MODIFICATIVOS. POSSIBILIDADE.  I - Deixando o acórdão embargado de se pronunciar acerca de questão relevante ao deslinde da demanda, como no caso, em que a Turma julgadora não se manifestou acerca da violação da norma dos </w:t>
      </w:r>
      <w:proofErr w:type="spellStart"/>
      <w:r w:rsidRPr="0000017A">
        <w:rPr>
          <w:sz w:val="26"/>
          <w:szCs w:val="26"/>
        </w:rPr>
        <w:t>arts</w:t>
      </w:r>
      <w:proofErr w:type="spellEnd"/>
      <w:r w:rsidRPr="0000017A">
        <w:rPr>
          <w:sz w:val="26"/>
          <w:szCs w:val="26"/>
        </w:rPr>
        <w:t xml:space="preserve">. 3º, item 1, 4º, itens 1 e 2, 6º, item 1, alíneas a, b, e c, e 2; 7º, itens 1, 2 e 4; 13, item 1; 14, item 1; e 15, itens 1 e 2 da Convenção nº. 169/OIT, impõe-se o acolhimento dos embargos de declaração, veiculados com a finalidade de suprir-se a omissão apontada.  II - A discussão que se travou nestes autos gira em torno de direitos difusos, de natureza </w:t>
      </w:r>
      <w:proofErr w:type="spellStart"/>
      <w:r w:rsidRPr="0000017A">
        <w:rPr>
          <w:sz w:val="26"/>
          <w:szCs w:val="26"/>
        </w:rPr>
        <w:t>sócio-ambiental</w:t>
      </w:r>
      <w:proofErr w:type="spellEnd"/>
      <w:r w:rsidRPr="0000017A">
        <w:rPr>
          <w:sz w:val="26"/>
          <w:szCs w:val="26"/>
        </w:rPr>
        <w:t xml:space="preserve">, por se tratar da instalação de empreendimento hidrelétrico, encravado no seio da Amazônia Legal, com reflexos diretos não só em todos os ecossistemas ali existentes, mas, também, primordialmente, em terras e comunidades indígenas, com influência impactante sobre suas crenças, tradições e culturas, conforme assim noticiam os elementos carreados para os presentes autos, a revelar o caráter de repercussão geral da controvérsia instaurada neste feito judicial, que, por sua natureza ontológica, é de caráter difuso-ambiental, a sobrepor-se a qualquer outro interesse de cunho político ou econômico, como no caso, ante o fenômeno da transcendência das questões discutidas no processo judicial, porque diretamente vinculadas à tradicional teoria da gravidade institucional, na visão da Corte Suprema da Argentina, já recepcionada pela doutrina, pela legislação processual (CPC, </w:t>
      </w:r>
      <w:proofErr w:type="spellStart"/>
      <w:r w:rsidRPr="0000017A">
        <w:rPr>
          <w:sz w:val="26"/>
          <w:szCs w:val="26"/>
        </w:rPr>
        <w:t>arts</w:t>
      </w:r>
      <w:proofErr w:type="spellEnd"/>
      <w:r w:rsidRPr="0000017A">
        <w:rPr>
          <w:sz w:val="26"/>
          <w:szCs w:val="26"/>
        </w:rPr>
        <w:t xml:space="preserve">. 543-A, § 1º, e 543-C, caput) e pela jurisprudência dos Tribunais do Brasil, na compreensão racional de que tais questões excedem ao mero interesse individual das partes e afetam de modo direto o da comunidade em geral, a desatrelar-se dos marcos regulatórios da congruência processual, na espécie.  III - Nos termos do art. 231, § 3º, da Constituição Federal, "o aproveitamento dos recursos hídricos, incluídos os potenciais energéticos, a pesquisa e a lavra das riquezas minerais em terras indígenas só podem ser efetivados com autorização do Congresso Nacional, ouvidas as comunidades afetadas, ficando-lhes assegurada participação nos resultados da lavra, na forma da lei".  IV - A Convenção Internacional 169/OIT, que dispõe </w:t>
      </w:r>
      <w:r w:rsidRPr="0000017A">
        <w:rPr>
          <w:sz w:val="26"/>
          <w:szCs w:val="26"/>
        </w:rPr>
        <w:lastRenderedPageBreak/>
        <w:t xml:space="preserve">sobre os povos indígenas e tribais, aprovada pelo Decreto 5.051, de 19 de abril de 2004, assim estabelece: "Artigo. 3º 1. Os povos indígenas e tribais deverão gozar plenamente dos direitos humanos e liberdades fundamentais, sem obstáculos nem discriminação. As disposições desta Convenção serão aplicadas sem discriminação aos homens e mulheres desses povos. 2. Não deverá ser empregada nenhuma forma de força ou de coerção que viole os direitos humanos e as liberdades fundamentais dos povos interessados, inclusive os direitos contidos na presente convenção; Artigo 4º 1. Deverão ser adotadas as medidas especiais que sejam necessárias para salvaguardar as pessoas, as instituições, os bens, as culturas e o meio ambiente dos povos interessados. 2. Tais medidas especiais não deverão ser contrárias aos desejos expressos livremente pelos povos interessados; Art. 6º Ao aplicar as disposições da presente Convenção, os governos deverão: a) consultar os povos interessados, mediante procedimentos apropriados e, particularmente, através de suas instituições representativas, cada vez que sejam previstas medidas legislativas ou administrativas suscetíveis de afetá-los diretamente; b) estabelecer os meios através dos quais os povos interessados possam participar livremente, pelo menos na mesma medida que outros setores da população e em todos os níveis, na adoção de decisões em instituições efetivas ou organismos administrativos e de outra natureza responsáveis pelas políticas e programas que lhes sejam concernentes; c) estabelecer os meios para o pleno desenvolvimento das instituições e iniciativas dos povos e, nos casos apropriados, fornecer os recursos necessários para esse fim; Artigo 7º 1. Os povos interessados deverão ter o direito de escolher suas, próprias prioridades no que diz respeito ao processo de desenvolvimento, na medida em que ele afete as suas vidas, crenças, instituições e bem-estar espiritual, bem como as terras que ocupam ou utilizam de alguma forma, e de controlar, na medida do possível, o seu próprio desenvolvimento econômico, social e cultural. Além disso, esses povos deverão participar da formulação, aplicação e avaliação dos planos e programas de desenvolvimento nacional e regional suscetíveis de afetá-los diretamente. 2. A melhoria das condições de vida e de trabalho e do nível de saúde e educação dos povos interessados, com a sua participação e cooperação, deverá ser prioritária nos planos de desenvolvimento econômico global das regiões onde eles moram. Os projetos especiais de desenvolvimento para essas regiões também deverão ser elaborados de forma a promoverem essa melhoria.4. Os governos deverão adotar medidas em cooperação com os povos interessados para proteger e preservar o meio ambiente dos territórios que eles habitam. Artigo 13 1. Ao aplicarem as disposições desta parte da Convenção, os governos deverão respeitar a importância especial que para as culturas e valores espirituais dos povos interessados </w:t>
      </w:r>
      <w:r w:rsidRPr="0000017A">
        <w:rPr>
          <w:sz w:val="26"/>
          <w:szCs w:val="26"/>
        </w:rPr>
        <w:lastRenderedPageBreak/>
        <w:t>possui a sua relação com as terras ou territórios, ou com ambos, segundo os casos, que eles ocupam ou utilizam de alguma maneira e, particularmente, os aspectos coletivos dessa relação; Artigo 14 1. Dever-se-á reconhecer aos povos interessados os direitos de propriedade e de posse sobre as terras que tradicionalmente ocupam. Além disso, nos casos apropriados, deverão ser adotadas medidas para salvaguardar o direito dos povos interessados de utilizar terras que não estejam exclusivamente ocupadas por eles, mas às quais, tradicionalmente, tenham tido acesso para suas atividades tradicionais e de subsistência. Nesse particular, deverá ser dada especial atenção à situação dos povos nômades e dos agricultores itinerantes; Artigo 15 1. Os direitos dos povos interessados aos recursos naturais existentes nas suas terras deverão ser especialmente protegidos. Esses direitos abrangem o direito desses povos a participarem da utilização, administração e conservação dos recursos mencionados. 2. Em caso de pertencer ao Estado a propriedade dos minérios ou dos recursos do subsolo, ou de ter direitos sobre outros recursos, existentes nas terras, os governos deverão estabelecer ou manter procedimentos com vistas a consultar os povos interessados, a fim de se determinar se os interesses desses povos seriam prejudicados, e em que medida, antes de se empreender ou autorizar qualquer programa de prospecção ou exploração dos recursos existentes nas suas terras. Os povos interessados deverão participar sempre que for possível dos benefícios que essas atividades produzam, e receber indenização equitativa por qualquer dano que possam sofrer como resultado dessas atividades".  V - Afigura-se equivocado e omisso o Acórdão embargado, ao considerar que o Supremo Tribunal Federal já declarou a constitucionalidade do Decreto Legislativo 788/2005, apenas sinalizando a decisão monocrática da Presidência da Suprema Corte, nos autos da Suspensão de Liminar nº. 125-6/PARÁ, arquivados em 12/11/2007, sem considerar o que dispõem o Regimento Interno da referida Corte Suprema (art. 21, incisos IV e V) e a Lei 9.868, de 10/11/99 (</w:t>
      </w:r>
      <w:proofErr w:type="spellStart"/>
      <w:r w:rsidRPr="0000017A">
        <w:rPr>
          <w:sz w:val="26"/>
          <w:szCs w:val="26"/>
        </w:rPr>
        <w:t>arts</w:t>
      </w:r>
      <w:proofErr w:type="spellEnd"/>
      <w:r w:rsidRPr="0000017A">
        <w:rPr>
          <w:sz w:val="26"/>
          <w:szCs w:val="26"/>
        </w:rPr>
        <w:t xml:space="preserve">. 10, 11 e 12 e respectivos parágrafos), a exigir decisão colegiada da maioria absoluta dos membros do Supremo Tribunal Federal, na matéria, o que não ocorreu, na espécie. Ademais, não há que se cogitar, na espécie, de invasão da esfera de discricionariedade administrativa, na formulação e implementação da política energética nacional, pela atuação diligente do Poder Judiciário, no controle dessas políticas públicas ambientais (CF, art. 5º, XXXV), em defesa do meio ambiente ecologicamente equilibrado, para as presentes e futuras gerações (CF, art. 225, caput), como assim já orienta a sólida jurisprudência do Supremo Tribunal Federal (ADPF 45 MC/DF - Rel. Ministro Celso de Mello - julgado em 29/04/2004 e RTJ 175/1212-1213, Rel. Min. Celso de Mello, inter </w:t>
      </w:r>
      <w:proofErr w:type="spellStart"/>
      <w:r w:rsidRPr="0000017A">
        <w:rPr>
          <w:sz w:val="26"/>
          <w:szCs w:val="26"/>
        </w:rPr>
        <w:t>plures</w:t>
      </w:r>
      <w:proofErr w:type="spellEnd"/>
      <w:r w:rsidRPr="0000017A">
        <w:rPr>
          <w:sz w:val="26"/>
          <w:szCs w:val="26"/>
        </w:rPr>
        <w:t xml:space="preserve">).  VI - Na hipótese dos autos, a localização da Usina </w:t>
      </w:r>
      <w:r w:rsidRPr="0000017A">
        <w:rPr>
          <w:sz w:val="26"/>
          <w:szCs w:val="26"/>
        </w:rPr>
        <w:lastRenderedPageBreak/>
        <w:t xml:space="preserve">Hidrelétrica Belo Monte, no Estado do Pará, encontra-se inserida na Amazônia Legal e sua instalação causará interferência direta no mínimo existencial-ecológico de comunidades indígenas, com reflexos negativos e irreversíveis para a sua sadia qualidade de vida e patrimônio cultural em suas terras imemoriais e tradicionalmente ocupadas, impondo-se, assim, a autorização do Congresso Nacional, com a audiência prévia dessas comunidades, nos termos dos referidos dispositivos normativos, sob pena de nulidade da autorização concedida nesse contexto de irregularidade procedimental (CF, art. 231, § 6º), como no caso.  VII - No caso em exame, a autorização do Congresso Nacional, a que alude o referido dispositivo constitucional em tela (CF, art. 231, § 3º), afigura-se manifestamente viciada, em termos materiais, à </w:t>
      </w:r>
      <w:proofErr w:type="spellStart"/>
      <w:r w:rsidRPr="0000017A">
        <w:rPr>
          <w:sz w:val="26"/>
          <w:szCs w:val="26"/>
        </w:rPr>
        <w:t>mingua</w:t>
      </w:r>
      <w:proofErr w:type="spellEnd"/>
      <w:r w:rsidRPr="0000017A">
        <w:rPr>
          <w:sz w:val="26"/>
          <w:szCs w:val="26"/>
        </w:rPr>
        <w:t xml:space="preserve"> de audiência prévia das comunidades indígenas afetadas, que deveria ocorrer à luz dos elementos colhidos previamente pelo estudo de impacto ambiental, que não pode, em hipótese alguma, como determinou o Decreto Legislativo 788/2005, ser um estudo póstumo às consultas necessárias à participação das comunidades indígenas. A Constituição do Brasil não consagrou um estudo póstumo de impacto ambiental; ela consagrou um estudo prévio de impacto ambiental (CF, art. 225, § 1º, IV), e o governo federal quer implantar um estudo póstumo de impacto ambiental, na espécie, assim, anulando os direitos fundamentais dessas comunidades indígenas.  VIII - Na ótica vigilante da Suprema Corte, "a incolumidade do meio ambiente não pode ser comprometida por interesses empresariais nem ficar dependente de motivações de índole meramente econômica, ainda mais se </w:t>
      </w:r>
      <w:proofErr w:type="spellStart"/>
      <w:r w:rsidRPr="0000017A">
        <w:rPr>
          <w:sz w:val="26"/>
          <w:szCs w:val="26"/>
        </w:rPr>
        <w:t>se</w:t>
      </w:r>
      <w:proofErr w:type="spellEnd"/>
      <w:r w:rsidRPr="0000017A">
        <w:rPr>
          <w:sz w:val="26"/>
          <w:szCs w:val="26"/>
        </w:rPr>
        <w:t xml:space="preserve"> tiver presente que a atividade econômica, considerada a disciplina constitucional que a rege, está subordinada, dentre outros princípios gerais, àquele que privilegia a "defesa do meio ambiente" (CF, art. 170, VI), que traduz conceito amplo e abrangente das noções de meio ambiente natural, de meio ambiente cultural, de meio ambiente artificial (espaço urbano) e de meio ambiente laboral (...) O princípio do desenvolvimento sustentável, além de impregnado de caráter eminentemente constitucional, encontra suporte legitimador em compromissos internacionais assumidos pelo Estado brasileiro e representa fator de obtenção do justo equilíbrio entre as exigências da economia e as da ecologia, subordinada, no entanto, a invocação desse postulado, quando ocorrente situação de conflito entre valores constitucionais relevantes, a uma condição inafastável, cuja observância não comprometa nem esvazie o conteúdo essencial de um dos mais significativos direitos fundamentais: o direito à preservação do meio ambiente, que traduz bem de uso comum da generalidade das pessoas, a ser resguardado em favor das presentes e futuras gerações" (ADI-MC nº 3540/DF - Rel. Min. Celso de Mello - DJU de 03/02/2006). Nesta visão de uma sociedade sustentável e global, baseada no respeito pela </w:t>
      </w:r>
      <w:r w:rsidRPr="0000017A">
        <w:rPr>
          <w:sz w:val="26"/>
          <w:szCs w:val="26"/>
        </w:rPr>
        <w:lastRenderedPageBreak/>
        <w:t xml:space="preserve">natureza, nos direitos humanos universais, com abrangência dos direitos fundamentais à dignidade e cultura dos povos indígenas, na justiça econômica e numa cultura de paz, com responsabilidades pela grande comunidade da vida, numa perspectiva intergeracional, promulgou-se a Carta Ambiental da França (02.03.2005), estabelecendo que "o futuro e a própria existência da humanidade são indissociáveis de seu meio natural e, por isso, o meio ambiente é considerado um patrimônio comum dos seres humanos, devendo sua preservação ser buscada, sob o mesmo título que os demais interesses fundamentais da nação, pois a diversidade biológica, o desenvolvimento da pessoa humana e o progresso das sociedades estão sendo afetados por certas modalidades de produção e consumo e pela exploração excessiva dos recursos naturais, a se exigir das autoridades públicas a aplicação do princípio da precaução nos limites de suas atribuições, em busca de um desenvolvimento durável.  IX - Nesse contexto de desafios das metas de desenvolvimento para todos os seres vivos, neste novo milênio, na perspectiva da Conferência das Nações Unidas - Rio+20, a tutela jurisdicional-inibitória do risco ambiental, que deve ser praticada pelo Poder Judiciário Republicano, como instrumento de eficácia dos princípios da precaução, da prevenção e da proibição do retrocesso ecológico, como no caso em exame, no controle judicial de políticas públicas do meio ambiente, a garantir, inclusive, o mínimo existencial-ecológico dos povos indígenas atingidos diretamente e indiretamente em seu patrimônio de natureza material e imaterial (CF, art. 216, caput, incisos I e II) pelo Programa de Aceleração Econômica do Poder Executivo Federal, há de resultar, assim, dos comandos normativos dos </w:t>
      </w:r>
      <w:proofErr w:type="spellStart"/>
      <w:r w:rsidRPr="0000017A">
        <w:rPr>
          <w:sz w:val="26"/>
          <w:szCs w:val="26"/>
        </w:rPr>
        <w:t>arts</w:t>
      </w:r>
      <w:proofErr w:type="spellEnd"/>
      <w:r w:rsidRPr="0000017A">
        <w:rPr>
          <w:sz w:val="26"/>
          <w:szCs w:val="26"/>
        </w:rPr>
        <w:t xml:space="preserve">. 3º, incisos I a IV e 5º, caput e incisos XXXV e LXXVIII e respectivo parágrafo 2º, c/c os </w:t>
      </w:r>
      <w:proofErr w:type="spellStart"/>
      <w:r w:rsidRPr="0000017A">
        <w:rPr>
          <w:sz w:val="26"/>
          <w:szCs w:val="26"/>
        </w:rPr>
        <w:t>arts</w:t>
      </w:r>
      <w:proofErr w:type="spellEnd"/>
      <w:r w:rsidRPr="0000017A">
        <w:rPr>
          <w:sz w:val="26"/>
          <w:szCs w:val="26"/>
        </w:rPr>
        <w:t xml:space="preserve">. 170, incisos I a IX e 225, caput, e 231, § 3º, da Constituição da República Federativa do Brasil, em decorrência dos tratados e convenções internacionais, neste sentido, visando garantir a inviolabilidade do direito fundamental à sadia qualidade de vida, bem assim a defesa e preservação do meio ambiente ecologicamente equilibrado, em busca do desenvolvimento sustentável para as presentes e futuras gerações.  X - A tutela constitucional, que impõe ao Poder Público e a toda coletividade o dever de defender e preservar, para as presentes e futuras gerações, o meio ambiente ecologicamente equilibrado, essencial à sadia qualidade de vida, como direito difuso e fundamental, feito bem de uso comum do povo (CF, art. 225, caput), já instrumentaliza, em seus comandos normativos, o princípio da precaução (quando houver dúvida sobre o potencial deletério de uma determinada ação sobre o ambiente, toma-se a decisão mais conservadora, evitando-se a ação) e a </w:t>
      </w:r>
      <w:proofErr w:type="spellStart"/>
      <w:r w:rsidRPr="0000017A">
        <w:rPr>
          <w:sz w:val="26"/>
          <w:szCs w:val="26"/>
        </w:rPr>
        <w:t>conseqüente</w:t>
      </w:r>
      <w:proofErr w:type="spellEnd"/>
      <w:r w:rsidRPr="0000017A">
        <w:rPr>
          <w:sz w:val="26"/>
          <w:szCs w:val="26"/>
        </w:rPr>
        <w:t xml:space="preserve"> prevenção (pois uma vez que se possa prever que uma certa atividade possa ser danosa, ela deve ser evitada). No caso concreto, impõe-se com maior rigor a </w:t>
      </w:r>
      <w:r w:rsidRPr="0000017A">
        <w:rPr>
          <w:sz w:val="26"/>
          <w:szCs w:val="26"/>
        </w:rPr>
        <w:lastRenderedPageBreak/>
        <w:t xml:space="preserve">observância desses princípios, por se tratar de tutela jurisdicional em que se busca, também, salvaguardar a proteção da posse e do uso de terras indígenas, com suas crenças e tradições culturais, aos quais o Texto Constitucional confere especial proteção (CF, art. 231 e §§), na linha determinante de que os Estados devem reconhecer e apoiar de forma apropriada a identidade, cultura e interesses das populações e comunidades indígenas, bem como habilitá-las a participar da promoção do desenvolvimento sustentável (Princípio 22 da ECO-92, reafirmado na Rio + 20).  XI- Embargos de declaração parcialmente providos, com modificação do resultado do julgamento.  XII - Apelação provida, em parte. Sentença reformada. Ação procedente, para coibir o Instituto Brasileiro do Meio Ambiente e dos Recursos Naturais Renováveis - IBAMA de praticar qualquer ato administrativo, e tornar insubsistentes aqueles já praticados, referentes ao licenciamento ambiental da Usina Hidrelétrica de Belo Monte, no Estado do Pará, em decorrência da invalidade material do Decreto Legislativo nº. 788/2005, por violação à norma do art. 231, § 3º, da Constituição Federal, c/c os </w:t>
      </w:r>
      <w:proofErr w:type="spellStart"/>
      <w:r w:rsidRPr="0000017A">
        <w:rPr>
          <w:sz w:val="26"/>
          <w:szCs w:val="26"/>
        </w:rPr>
        <w:t>arts</w:t>
      </w:r>
      <w:proofErr w:type="spellEnd"/>
      <w:r w:rsidRPr="0000017A">
        <w:rPr>
          <w:sz w:val="26"/>
          <w:szCs w:val="26"/>
        </w:rPr>
        <w:t>. 3º, item 1, 4º, itens 1 e 2, 6º, item 1, alíneas a, b, e c, e 2; 7º, itens 1, 2 e 4; 13, item 1; 14, item 1; e 15, itens 1 e 2 da Convenção nº. 169/OIT, ordenando às empresas executoras do empreendimento hidrelétrico Belo Monte, em referência, a imediata paralisação das atividades de sua implementação, sob pena de multa coercitiva, no montante de R$500.000,00 (quinhentos mil reais), por dia de atraso no cumprimento do provimento mandamental em tela (CPC, art. 461, § 5º).</w:t>
      </w:r>
    </w:p>
    <w:p w:rsidR="0000017A" w:rsidRPr="0000017A" w:rsidRDefault="0000017A" w:rsidP="0000017A">
      <w:pPr>
        <w:pStyle w:val="Transcrio"/>
        <w:ind w:left="1985"/>
      </w:pPr>
      <w:r w:rsidRPr="0000017A">
        <w:rPr>
          <w:sz w:val="26"/>
          <w:szCs w:val="26"/>
        </w:rPr>
        <w:t>(EDAC 0000709-88.2006.4.01.3903 / PA, Rel. DESEMBARGADOR FEDERAL SOUZA PRUDENTE, QUINTA TURMA, e-DJF1 p.316 de 27/08/2012</w:t>
      </w:r>
      <w:r w:rsidRPr="0000017A">
        <w:t>)</w:t>
      </w:r>
    </w:p>
    <w:p w:rsidR="0000017A" w:rsidRPr="0000017A" w:rsidRDefault="0000017A" w:rsidP="0000017A">
      <w:pPr>
        <w:pStyle w:val="Pargrafo"/>
        <w:ind w:left="1418" w:firstLine="567"/>
        <w:rPr>
          <w:i/>
          <w:sz w:val="26"/>
        </w:rPr>
      </w:pPr>
    </w:p>
    <w:p w:rsidR="0000017A" w:rsidRPr="0000017A" w:rsidRDefault="0000017A" w:rsidP="0000017A">
      <w:pPr>
        <w:pStyle w:val="Transcrio"/>
        <w:spacing w:before="0" w:after="0"/>
        <w:ind w:left="1418" w:firstLine="567"/>
        <w:rPr>
          <w:sz w:val="26"/>
          <w:szCs w:val="26"/>
        </w:rPr>
      </w:pPr>
      <w:r w:rsidRPr="0000017A">
        <w:rPr>
          <w:sz w:val="26"/>
        </w:rPr>
        <w:t xml:space="preserve">Ademais, não se pode olvidar que, na espécie, em se tratando de empreendimento voltado para a instalação de Terminal Portuário, localizado às margens do Rio Amazonas, no seio da Amazônia Legal, o seu licenciamento ambiental haverá de submeter-se ao crivo do Instituto Brasileiro do Meio Ambiente e dos Recursos Naturais Renováveis – IBAMA, </w:t>
      </w:r>
      <w:r w:rsidRPr="0000017A">
        <w:rPr>
          <w:sz w:val="26"/>
          <w:szCs w:val="26"/>
        </w:rPr>
        <w:t xml:space="preserve">na condição de responsável pela ação fiscalizadora decorrente de lei, a fim de coibir abusos e danos ao meio ambiente ecologicamente equilibrado, por eventuais beneficiários de licenças emitidas sem a sua participação, na condição de órgão executor da política nacional do meio ambiente, pois é da competência gerencial-executiva e comum da União, dos Estados, do Distrito Federal e dos Municípios proteger as obras e outros bens de valor histórico, artístico e cultural, as paisagens naturais notáveis, os sítios arqueológicos e o meio ambiente e, ainda, preservar as florestas, a fauna e a flora (CF, art. 23, incisos III, VI e VII), conforme já decidiu este egrégio Tribunal, </w:t>
      </w:r>
      <w:r w:rsidRPr="0000017A">
        <w:rPr>
          <w:b/>
          <w:sz w:val="26"/>
          <w:szCs w:val="26"/>
        </w:rPr>
        <w:t xml:space="preserve">in </w:t>
      </w:r>
      <w:proofErr w:type="spellStart"/>
      <w:r w:rsidRPr="0000017A">
        <w:rPr>
          <w:b/>
          <w:sz w:val="26"/>
          <w:szCs w:val="26"/>
        </w:rPr>
        <w:t>verbis</w:t>
      </w:r>
      <w:proofErr w:type="spellEnd"/>
      <w:r w:rsidRPr="0000017A">
        <w:rPr>
          <w:sz w:val="26"/>
          <w:szCs w:val="26"/>
        </w:rPr>
        <w:t>:</w:t>
      </w:r>
    </w:p>
    <w:p w:rsidR="0000017A" w:rsidRPr="0000017A" w:rsidRDefault="0000017A" w:rsidP="0000017A">
      <w:pPr>
        <w:pStyle w:val="Transcrio"/>
        <w:spacing w:before="0" w:after="0"/>
        <w:ind w:left="1418" w:firstLine="567"/>
        <w:rPr>
          <w:sz w:val="26"/>
          <w:szCs w:val="26"/>
        </w:rPr>
      </w:pPr>
    </w:p>
    <w:p w:rsidR="0000017A" w:rsidRPr="0000017A" w:rsidRDefault="0000017A" w:rsidP="0000017A">
      <w:pPr>
        <w:pStyle w:val="Transcrio"/>
        <w:ind w:left="1985"/>
        <w:rPr>
          <w:sz w:val="26"/>
          <w:szCs w:val="26"/>
        </w:rPr>
      </w:pPr>
      <w:r w:rsidRPr="0000017A">
        <w:rPr>
          <w:sz w:val="26"/>
          <w:szCs w:val="26"/>
        </w:rPr>
        <w:lastRenderedPageBreak/>
        <w:t xml:space="preserve">CONSTITUCIONAL. ADMINISTRATIVO, AMBIENTAL E PROCESSUAL CIVIL. AÇÃO CIVIL PÚBLICA. EXPLORAÇÃO DE RECURSOS ENERGÉTICOS EM ÁREA INDÍGENA. UHE PAIAGUÁ. INEXISTÊNCIA DE AUTORIZAÇÃO DO CONGRESSO NACIONAL E AUDIÊNCIA PRÉVIA DAS COMUNIDADES INDÍGENAS AFETADAS. VIOLAÇÃO À NORMA DO § 3º DO ART. 231 DA CONSTITUIÇÃO FEDERAL. LICENCIAMENTO AMBIENTAL VICIADO E NULO DE PLENO DIREITO, CONCEDIDO POR ÓRGÃO ESTADUAL. AGRESSÃO AOS PRINCÍPIOS DE ORDEM PÚBLICA, DA PRECAUÇÃO E DA MORALIDADE AMBIENTAL (CF, ART. 37, CAPUT). ANTECIPAÇÃO DA TUTELA. CABIMENTO.  I - Na ótica vigilante da Suprema Corte, "a incolumidade do meio ambiente não pode ser comprometida por interesses empresariais nem ficar dependente de motivações de índole meramente econômica, ainda mais se </w:t>
      </w:r>
      <w:proofErr w:type="spellStart"/>
      <w:r w:rsidRPr="0000017A">
        <w:rPr>
          <w:sz w:val="26"/>
          <w:szCs w:val="26"/>
        </w:rPr>
        <w:t>se</w:t>
      </w:r>
      <w:proofErr w:type="spellEnd"/>
      <w:r w:rsidRPr="0000017A">
        <w:rPr>
          <w:sz w:val="26"/>
          <w:szCs w:val="26"/>
        </w:rPr>
        <w:t xml:space="preserve"> tiver presente que a atividade econômica, considerada a disciplina constitucional que a rege, está subordinada, dentre outros princípios gerais, àquele que privilegia a "defesa do meio ambiente" (CF, art. 170, VI), que traduz conceito amplo e abrangente das noções de meio ambiente natural, de meio ambiente cultural, de meio ambiente artificial (espaço urbano) e de meio ambiente laboral (...) O princípio do desenvolvimento sustentável, além de impregnado de caráter eminentemente constitucional, encontra suporte legitimador em compromissos internacionais assumidos pelo Estado brasileiro e representa fator de obtenção do justo equilíbrio entre as exigências da economia e as da ecologia, subordinada, no entanto, a invocação desse postulado, quando ocorrente situação de conflito entre valores constitucionais relevantes, a uma condição inafastável, cuja observância não comprometa nem esvazie o conteúdo essencial de um dos mais significativos direitos fundamentais: o direito à preservação do meio ambiente, que traduz bem de uso comum da generalidade das pessoas, a ser resguardado em favor das presentes e futuras gerações" (ADI-MC nº 3540/DF - Rel. Min. Celso de Mello - DJU de 03/02/2006). Nesta visão de uma sociedade sustentável e global, baseada no respeito pela natureza, nos direitos humanos universais, com abrangência dos direitos fundamentais à dignidade e cultura dos povos indígenas, na justiça econômica e numa cultura de paz, com responsabilidades pela grande comunidade da vida, numa perspectiva intergeracional, promulgou-se a Carta Ambiental da França (02.03.2005), estabelecendo que "o futuro e a própria existência da humanidade são indissociáveis de seu meio natural e, por isso, o meio ambiente é considerado um patrimônio comum dos seres humanos, devendo sua preservação ser buscada, sob o mesmo título que os demais interesses fundamentais da nação, pois a diversidade biológica, o desenvolvimento da pessoa humana e o progresso das sociedades estão sendo afetados por certas </w:t>
      </w:r>
      <w:r w:rsidRPr="0000017A">
        <w:rPr>
          <w:sz w:val="26"/>
          <w:szCs w:val="26"/>
        </w:rPr>
        <w:lastRenderedPageBreak/>
        <w:t xml:space="preserve">modalidades de produção e consumo e pela exploração excessiva dos recursos naturais, a se exigir das autoridades públicas a aplicação do princípio da precaução nos limites de suas atribuições, em busca de um desenvolvimento durável.  II - A tutela constitucional, que impõe ao Poder Público e a toda coletividade o dever de defender e preservar, para as presentes e futuras gerações, o meio ambiente ecologicamente equilibrado, essencial à sadia qualidade de vida, como direito difuso e fundamental, feito bem de uso comum do povo (CF, art. 225, caput), já instrumentaliza, em seus comandos normativos, o princípio da precaução (quando houver dúvida sobre o potencial deletério de uma determinada ação sobre o ambiente, toma-se a decisão mais conservadora, evitando-se a ação) e a </w:t>
      </w:r>
      <w:proofErr w:type="spellStart"/>
      <w:r w:rsidRPr="0000017A">
        <w:rPr>
          <w:sz w:val="26"/>
          <w:szCs w:val="26"/>
        </w:rPr>
        <w:t>conseqüente</w:t>
      </w:r>
      <w:proofErr w:type="spellEnd"/>
      <w:r w:rsidRPr="0000017A">
        <w:rPr>
          <w:sz w:val="26"/>
          <w:szCs w:val="26"/>
        </w:rPr>
        <w:t xml:space="preserve"> prevenção (pois uma vez que se possa prever que uma certa atividade possa ser danosa, ela deve ser evitada). No caso concreto, impõe-se com maior rigor a observância desses princípios, por se tratar de tutela jurisdicional em que se busca, também, salvaguardar a proteção do uso de terras indígenas, com suas crenças e tradições culturais, aos quais o Texto Constitucional confere especial proteção (CF, art. 231 e §§), na linha determinante de que os Estados devem reconhecer e apoiar de forma apropriada a identidade, cultura e interesses das populações e comunidades indígenas, bem como habilitá-las a participar da promoção do desenvolvimento sustentável (Princípio 22 da ECO-92, reafirmado na Rio + 20).  III - Nos termos do art. 231, § 3º, da Constituição Federal, "o aproveitamento dos recursos hídricos, incluídos os potenciais energéticos, a pesquisa e a lavra das riquezas minerais em terras indígenas só podem ser efetivados com autorização do Congresso Nacional, ouvidas as comunidades afetadas, ficando-lhes assegurada participação nos resultados da lavra, na forma da lei", em harmonia com o disposto no artigo 6º, item 1, alíneas a e b, da Convenção nº 169 -OIT.  IV - Na hipótese dos autos, a localização da UHE PAIAGUÁ, no Estado de Mato Grosso, encontra-se inserida na Amazônia Legal (Município Campo Novo do Parecis/MT) e sua instalação causará interferência direta no mínimo existencial-ecológico das comunidades indígenas </w:t>
      </w:r>
      <w:proofErr w:type="spellStart"/>
      <w:r w:rsidRPr="0000017A">
        <w:rPr>
          <w:sz w:val="26"/>
          <w:szCs w:val="26"/>
        </w:rPr>
        <w:t>Manoki</w:t>
      </w:r>
      <w:proofErr w:type="spellEnd"/>
      <w:r w:rsidRPr="0000017A">
        <w:rPr>
          <w:sz w:val="26"/>
          <w:szCs w:val="26"/>
        </w:rPr>
        <w:t xml:space="preserve"> e Ponte de Pedra, com reflexos negativos e irreversíveis para a sua sadia qualidade de vida e patrimônio cultural em suas terras imemoriais e tradicionalmente ocupadas, impondo-se, assim, a prévia autorização do Congresso Nacional, com a audiência dessas comunidades, nos termos do referido dispositivo constitucional, sob pena de nulidade da licença de instalação autorizada nesse contexto de irregularidade procedimental (CF, art. 231, § 6º).  V - Em sendo assim, versando a controvérsia, como no caso, em torno também de suposta emissão irregular de autorização e/ou licença ambiental, expedida, </w:t>
      </w:r>
      <w:proofErr w:type="spellStart"/>
      <w:r w:rsidRPr="0000017A">
        <w:rPr>
          <w:sz w:val="26"/>
          <w:szCs w:val="26"/>
        </w:rPr>
        <w:t>tão-somente</w:t>
      </w:r>
      <w:proofErr w:type="spellEnd"/>
      <w:r w:rsidRPr="0000017A">
        <w:rPr>
          <w:sz w:val="26"/>
          <w:szCs w:val="26"/>
        </w:rPr>
        <w:t xml:space="preserve">, pelo órgão ambiental estadual, deve o IBAMA integrar a relação processual, na condição de responsável pela ação fiscalizadora decorrente de lei, a fim de coibir abusos e </w:t>
      </w:r>
      <w:r w:rsidRPr="0000017A">
        <w:rPr>
          <w:sz w:val="26"/>
          <w:szCs w:val="26"/>
        </w:rPr>
        <w:lastRenderedPageBreak/>
        <w:t>danos ao meio ambiente ecologicamente equilibrado, por eventuais beneficiários de licenças emitidas sem a sua participação, na condição de órgão executor da política nacional do meio ambiente, pois é da competência gerencial-executiva e comum da União, dos Estados, do Distrito Federal e dos Municípios proteger as obras e outros bens de valor histórico, artístico e cultural, as paisagens naturais notáveis, os sítios arqueológicos e o meio ambiente e, ainda, preservar as florestas, a fauna e a flora (CF, art. 23, incisos III, VI e VII).  VI - Agravo de instrumento desprovido, para manter a decisão agravada, em todos os seus termos.</w:t>
      </w:r>
    </w:p>
    <w:p w:rsidR="0000017A" w:rsidRPr="0000017A" w:rsidRDefault="0000017A" w:rsidP="0000017A">
      <w:pPr>
        <w:pStyle w:val="Transcrio"/>
        <w:ind w:left="1985"/>
        <w:rPr>
          <w:sz w:val="26"/>
          <w:szCs w:val="26"/>
        </w:rPr>
      </w:pPr>
    </w:p>
    <w:p w:rsidR="0000017A" w:rsidRPr="0000017A" w:rsidRDefault="0000017A" w:rsidP="0000017A">
      <w:pPr>
        <w:pStyle w:val="Transcrio"/>
        <w:ind w:left="1985"/>
      </w:pPr>
      <w:r w:rsidRPr="0000017A">
        <w:rPr>
          <w:sz w:val="26"/>
          <w:szCs w:val="26"/>
        </w:rPr>
        <w:t>(AG 0076857-68.2013.4.01.0000 / MT, Rel. DESEMBARGADOR FEDERAL SOUZA PRUDENTE, QUINTA TURMA, e-DJF1 p.388 de 13/06/2014</w:t>
      </w:r>
      <w:r w:rsidRPr="0000017A">
        <w:t>)</w:t>
      </w:r>
    </w:p>
    <w:p w:rsidR="0000017A" w:rsidRPr="0000017A" w:rsidRDefault="0000017A" w:rsidP="0000017A">
      <w:pPr>
        <w:pStyle w:val="Transcrio"/>
        <w:spacing w:before="0" w:after="0"/>
        <w:ind w:left="1985"/>
        <w:rPr>
          <w:rFonts w:cs="Arial"/>
          <w:sz w:val="26"/>
        </w:rPr>
      </w:pPr>
    </w:p>
    <w:p w:rsidR="0000017A" w:rsidRPr="0000017A" w:rsidRDefault="0000017A" w:rsidP="0000017A">
      <w:pPr>
        <w:pStyle w:val="Transcrio"/>
        <w:ind w:left="1985"/>
        <w:rPr>
          <w:sz w:val="26"/>
          <w:szCs w:val="26"/>
        </w:rPr>
      </w:pPr>
      <w:r w:rsidRPr="0000017A">
        <w:rPr>
          <w:sz w:val="26"/>
          <w:szCs w:val="26"/>
        </w:rPr>
        <w:t xml:space="preserve">CONSTITUCIONAL. PROCESSUAL CIVIL, ADMINISTRATIVO E AMBIENTAL. AÇÃO CIVIL PÚBLICA. INSTALAÇÃO DE TERMINAL GRANELEIRO NO PORTO DE SANTARÉM(PA). LICENCIAMENTO AMBIENTAL CONDICIONADO À REALIZAÇÃO DE ESTUDO PRÉVIO DE IMPACTO AMBIENTAL. COMPETÊNCIA GERENCIAL-EXECUTIVA, COMUM E CONCORRENTE DA UNIÃO FEDERAL E DO ESTADO DO PARÁ A EXIGIR O EIA/RIMA DA EMPRESA EMPREENDEDORA. FISCALIZAÇÃO CONJUNTA DOS AGENTES DO PODER DE POLÍCIA AMBIENTAL DAS ENTIDADES FEDERADAS COMPETENTES. PODER NORMATIVO DO CONAMA E DE POLÍCIA ADMINISTRATIVA DO IBAMA. INVIABILIDADE DE ESTUDO PÓSTUMO DE IMPACTO AMBIENTAL, NA ESPÉCIE, ANTE A IRREVERSIBILIDADE DOS DANOS AO MEIO AMBIENTE. PRINCÍPIOS DA PRECAUÇÃO E DA PREVENÇAO, NA INSTRUMENTALIDADE DA TUTELA PROCESSUAL-CAUTELAR DO MEIO AMBIENTE. LEGITIMIDADE PASSIVA DA UNIÃO FEDERAL, DO ESTADO DO PARÁ E DO IBAMA, POR FLAGRANTE OMISSÃO EM DEFESA DO MEIO AMBIENTE ECOLOGICAMENTE EQUILIBRADO. SENTENÇA CONFIRMATÓRIA DE ANTECIPAÇÃO DE TUTELA INIBITÓRIA DO RISCO AMBIENTAL, AVALIZADA POR ACÓRDÃO DO TRIBUNAL REVISOR (CPC, ART. 512), JÁ TRANSITADO EM JULGADO, DESDE OS IDOS DE 2003. EFEITO SOMENTE DEVOLUTIVO DAS APELAÇÕES INTERPOSTAS, PARA EFETIVIDADE DA ANTECIPAÇÃO DA TUTELA MANDAMENTAL, DEFERIDA NOS AUTOS, VISANDO PROTEGER O MEIO AMBIENTE SADIO E EQUILIBRADO PARA AS PRESENTES E FUTURAS GERAÇÕES.  I - Na ótica vigilante da Suprema Corte, "a incolumidade do meio ambiente não pode ser comprometida por interesses empresariais nem ficar </w:t>
      </w:r>
      <w:r w:rsidRPr="0000017A">
        <w:rPr>
          <w:sz w:val="26"/>
          <w:szCs w:val="26"/>
        </w:rPr>
        <w:lastRenderedPageBreak/>
        <w:t xml:space="preserve">dependente de motivações de índole meramente econômica, ainda mais se </w:t>
      </w:r>
      <w:proofErr w:type="spellStart"/>
      <w:r w:rsidRPr="0000017A">
        <w:rPr>
          <w:sz w:val="26"/>
          <w:szCs w:val="26"/>
        </w:rPr>
        <w:t>se</w:t>
      </w:r>
      <w:proofErr w:type="spellEnd"/>
      <w:r w:rsidRPr="0000017A">
        <w:rPr>
          <w:sz w:val="26"/>
          <w:szCs w:val="26"/>
        </w:rPr>
        <w:t xml:space="preserve"> tiver presente que a atividade econômica, considerada a disciplina constitucional que a rege, está subordinada, dentre outros princípios gerais, àquele que privilegia a "defesa do meio ambiente" (CF, art. 170, VI), que traduz conceito amplo e abrangente das noções de meio ambiente natural, de meio ambiente cultural, de meio ambiente artificial (espaço urbano) e de meio ambiente laboral (...) O princípio do desenvolvimento sustentável, além de impregnado de caráter eminentemente constitucional, encontra suporte legitimador em compromissos internacionais assumidos pelo Estado brasileiro e representa fator de obtenção do justo equilíbrio entre as exigências da economia e as da ecologia, subordinada, no entanto, a invocação desse postulado, quando ocorrente situação de conflito entre valores constitucionais relevantes, a uma condição inafastável, cuja observância não comprometa nem esvazie o conteúdo essencial de um dos mais significativos direitos fundamentais: o direito à preservação do meio ambiente, que traduz bem de uso comum da generalidade das pessoas, a ser resguardado em favor das presentes e futuras gerações" (ADI-MC nº 3540/DF - Rel. Min. Celso de Mello - DJU de 03/02/2006). Nesta visão de uma sociedade sustentável e global, baseada no respeito pela natureza, nos direitos humanos universais, na justiça econômica e numa cultura de paz, com responsabilidades pela grande comunidade da vida, numa perspectiva </w:t>
      </w:r>
      <w:proofErr w:type="spellStart"/>
      <w:r w:rsidRPr="0000017A">
        <w:rPr>
          <w:sz w:val="26"/>
          <w:szCs w:val="26"/>
        </w:rPr>
        <w:t>intergeneracional</w:t>
      </w:r>
      <w:proofErr w:type="spellEnd"/>
      <w:r w:rsidRPr="0000017A">
        <w:rPr>
          <w:sz w:val="26"/>
          <w:szCs w:val="26"/>
        </w:rPr>
        <w:t xml:space="preserve">, promulgou-se a Carta Ambiental da França (02.03.2005), estabelecendo que "o futuro e a própria existência da humanidade são indissociáveis de seu meio natural e, por isso, o meio ambiente é considerado um patrimônio comum dos seres humanos, devendo sua preservação ser buscada, sob o mesmo título que os demais interesses fundamentais da nação, pois a diversidade biológica, o desenvolvimento da pessoa humana e o progresso das sociedades estão sendo afetados por certas modalidades de produção e consumo e pela exploração excessiva dos recursos naturais, a se exigir das autoridades públicas a aplicação do princípio da precaução nos limites de suas atribuições, em busca de um desenvolvimento durável.  II - A tutela constitucional, que impõe ao Poder Público e a toda coletividade o dever de defender e preservar, para as presentes e futuras gerações, o meio ambiente ecologicamente equilibrado, essencial à sadia qualidade de vida, como direito difuso e fundamental, feito bem de uso comum do povo (CF, art. 225, caput), já instrumentaliza, em seus comandos normativos, o princípio da precaução (quando houver dúvida sobre o potencial deletério de uma determinada ação sobre o ambiente, toma-se a decisão mais conservadora, evitando-se a ação) e a </w:t>
      </w:r>
      <w:proofErr w:type="spellStart"/>
      <w:r w:rsidRPr="0000017A">
        <w:rPr>
          <w:sz w:val="26"/>
          <w:szCs w:val="26"/>
        </w:rPr>
        <w:t>conseqüente</w:t>
      </w:r>
      <w:proofErr w:type="spellEnd"/>
      <w:r w:rsidRPr="0000017A">
        <w:rPr>
          <w:sz w:val="26"/>
          <w:szCs w:val="26"/>
        </w:rPr>
        <w:t xml:space="preserve"> prevenção (pois uma vez que se possa prever que uma certa atividade possa ser danosa, ela deve ser evitada) , exigindo-se, assim, na forma da lei, para instalação de obra ou atividade </w:t>
      </w:r>
      <w:r w:rsidRPr="0000017A">
        <w:rPr>
          <w:sz w:val="26"/>
          <w:szCs w:val="26"/>
        </w:rPr>
        <w:lastRenderedPageBreak/>
        <w:t xml:space="preserve">potencialmente causadora de significativa degradação do meio ambiente, estudo prévio de impacto ambiental, a que se dará publicidade (CF, art. 225, § 1º, IV).  III - Se a Lei de Política Nacional do Meio Ambiente, no Brasil (Lei nº 6.938, de 31.08.81) inseriu como objetivos essenciais dessa política pública "a compatibilização do desenvolvimento econômico e social com a preservação da qualidade do meio ambiente e do equilíbrio ecológico" e "a preservação e restauração dos recursos ambientais com vistas à sua utilização racional e disponibilidade permanente, concorrendo para a manutenção do equilíbrio ecológico propício à vida" (art. 4º, incisos I e VI), a configurar, no plano fático, o verdadeiro desenvolvimento sustentável, deve ser mantida a suspensão do Alvará de Autorização nº 024/99, que possibilitava a realização de obras no Porto de Santarém (PA), bem assim a expedição de qualquer outro Alvará que viabilize outras obras, potencialmente causadoras de degradação do meio ambiente, em face da instalação do referido Porto, visível </w:t>
      </w:r>
      <w:proofErr w:type="spellStart"/>
      <w:r w:rsidRPr="0000017A">
        <w:rPr>
          <w:sz w:val="26"/>
          <w:szCs w:val="26"/>
        </w:rPr>
        <w:t>escoador</w:t>
      </w:r>
      <w:proofErr w:type="spellEnd"/>
      <w:r w:rsidRPr="0000017A">
        <w:rPr>
          <w:sz w:val="26"/>
          <w:szCs w:val="26"/>
        </w:rPr>
        <w:t xml:space="preserve"> de soja transgênica, na região amazônica, assim exposta ao desmatamento irresponsável e à disfarçada colonização alienígena, até que se realize, às expensas da empresa responsável pelo empreendimento, por competente equipe multidisciplinar, o Estudo Prévio de Impacto Ambiental (EIA/RIMA), observando-se a regulamentação das Resoluções </w:t>
      </w:r>
      <w:proofErr w:type="spellStart"/>
      <w:r w:rsidRPr="0000017A">
        <w:rPr>
          <w:sz w:val="26"/>
          <w:szCs w:val="26"/>
        </w:rPr>
        <w:t>nºs</w:t>
      </w:r>
      <w:proofErr w:type="spellEnd"/>
      <w:r w:rsidRPr="0000017A">
        <w:rPr>
          <w:sz w:val="26"/>
          <w:szCs w:val="26"/>
        </w:rPr>
        <w:t xml:space="preserve"> 001/86 e 237/97-CONAMA, na dimensão do interesse difuso a ser, ali, protegido. Vencido, parcialmente, no ponto, o Relator.  IV - O poder de polícia ambiental, exercido pelo IBAMA, tem a finalidade de executar a política de preservação, conservação e uso sustentável dos recursos naturais, visando o planejamento e fiscalização do uso dos recursos ambientais, bem assim, a proteção dos ecossistemas, com a preservação de áreas representativas e proteção de áreas ameaçadas de degradação (alteração adversa das características do meio ambiente), como, assim, determinam as Leis </w:t>
      </w:r>
      <w:proofErr w:type="spellStart"/>
      <w:r w:rsidRPr="0000017A">
        <w:rPr>
          <w:sz w:val="26"/>
          <w:szCs w:val="26"/>
        </w:rPr>
        <w:t>nºs</w:t>
      </w:r>
      <w:proofErr w:type="spellEnd"/>
      <w:r w:rsidRPr="0000017A">
        <w:rPr>
          <w:sz w:val="26"/>
          <w:szCs w:val="26"/>
        </w:rPr>
        <w:t xml:space="preserve"> 4.771/65, </w:t>
      </w:r>
      <w:proofErr w:type="spellStart"/>
      <w:r w:rsidRPr="0000017A">
        <w:rPr>
          <w:sz w:val="26"/>
          <w:szCs w:val="26"/>
        </w:rPr>
        <w:t>art</w:t>
      </w:r>
      <w:proofErr w:type="spellEnd"/>
      <w:r w:rsidRPr="0000017A">
        <w:rPr>
          <w:sz w:val="26"/>
          <w:szCs w:val="26"/>
        </w:rPr>
        <w:t xml:space="preserve">, 14, alíneas a e b, e 6.938/81, </w:t>
      </w:r>
      <w:proofErr w:type="spellStart"/>
      <w:r w:rsidRPr="0000017A">
        <w:rPr>
          <w:sz w:val="26"/>
          <w:szCs w:val="26"/>
        </w:rPr>
        <w:t>art</w:t>
      </w:r>
      <w:proofErr w:type="spellEnd"/>
      <w:r w:rsidRPr="0000017A">
        <w:rPr>
          <w:sz w:val="26"/>
          <w:szCs w:val="26"/>
        </w:rPr>
        <w:t xml:space="preserve">, 2º, incisos III, IV, VII, IX, e 4º, inciso I, buscando, sempre, a compatibilização do desenvolvimento econômico-social com a preservação da qualidade do meio ambiente e do equilíbrio ecológico.  V - Versando a controvérsia, como no caso, em torno de suposta emissão irregular de autorização e/ou licença ambiental, expedida, </w:t>
      </w:r>
      <w:proofErr w:type="spellStart"/>
      <w:r w:rsidRPr="0000017A">
        <w:rPr>
          <w:sz w:val="26"/>
          <w:szCs w:val="26"/>
        </w:rPr>
        <w:t>tão-somente</w:t>
      </w:r>
      <w:proofErr w:type="spellEnd"/>
      <w:r w:rsidRPr="0000017A">
        <w:rPr>
          <w:sz w:val="26"/>
          <w:szCs w:val="26"/>
        </w:rPr>
        <w:t xml:space="preserve">, pelo órgão ambiental estadual (SECTAM/PA), deve o IBAMA integrar a relação processual, na condição de responsável pela ação fiscalizadora decorrente de lei, a fim de coibir abusos e danos ao meio ambiente ecologicamente equilibrado, por eventuais beneficiários de licenças emitidas sem a sua participação, na condição de órgão executor da política nacional do meio ambiente, pois é da competência gerencial-executiva e comum da União, dos Estados, do Distrito Federal e dos Municípios proteger as obras e outros bens de valor histórico, artístico e cultural, as paisagens naturais notáveis, os sítios arqueológicos e o meio ambiente e, </w:t>
      </w:r>
      <w:r w:rsidRPr="0000017A">
        <w:rPr>
          <w:sz w:val="26"/>
          <w:szCs w:val="26"/>
        </w:rPr>
        <w:lastRenderedPageBreak/>
        <w:t xml:space="preserve">ainda, preservar as florestas, a fauna e a flora (CF, art. 23, incisos III, VI e VII).  VI - Se a discussão travada nos autos, resulta na </w:t>
      </w:r>
      <w:proofErr w:type="spellStart"/>
      <w:r w:rsidRPr="0000017A">
        <w:rPr>
          <w:sz w:val="26"/>
          <w:szCs w:val="26"/>
        </w:rPr>
        <w:t>colidência</w:t>
      </w:r>
      <w:proofErr w:type="spellEnd"/>
      <w:r w:rsidRPr="0000017A">
        <w:rPr>
          <w:sz w:val="26"/>
          <w:szCs w:val="26"/>
        </w:rPr>
        <w:t xml:space="preserve"> de interesses entre o empreendimento questionado e órgãos da União Federal, notadamente em se tratando de temas ambientais, envolvendo área territorial constitucionalmente classificada como patrimônio nacional, afigura-se manifesta a sua legitimidade passiva ad causam, ante o objeto da ação, consistente na preservação do patrimônio nacional, competindo-lhe, por si e por intermédio dos respectivos órgãos federais regularmente estabelecidos, promover a sua defesa, em face da tutela cautelar constitucionalmente prevista no art. 225, § 1º, V e respectivo § 3º, da Constituição Federal, na linha </w:t>
      </w:r>
      <w:proofErr w:type="spellStart"/>
      <w:r w:rsidRPr="0000017A">
        <w:rPr>
          <w:sz w:val="26"/>
          <w:szCs w:val="26"/>
        </w:rPr>
        <w:t>auto-aplicável</w:t>
      </w:r>
      <w:proofErr w:type="spellEnd"/>
      <w:r w:rsidRPr="0000017A">
        <w:rPr>
          <w:sz w:val="26"/>
          <w:szCs w:val="26"/>
        </w:rPr>
        <w:t xml:space="preserve"> de imposição ao poder público e à coletividade o dever de defender e preservar o meio ambiente ecologicamente equilibrado, como bem de uso comum do povo e essencial à sadia qualidade de vida, para as presentes e futuras gerações (CF, art. 225, caput). Preliminar rejeitada, no ponto.  VII - Se as obras de instalação do terminal </w:t>
      </w:r>
      <w:proofErr w:type="spellStart"/>
      <w:r w:rsidRPr="0000017A">
        <w:rPr>
          <w:sz w:val="26"/>
          <w:szCs w:val="26"/>
        </w:rPr>
        <w:t>graneleiro</w:t>
      </w:r>
      <w:proofErr w:type="spellEnd"/>
      <w:r w:rsidRPr="0000017A">
        <w:rPr>
          <w:sz w:val="26"/>
          <w:szCs w:val="26"/>
        </w:rPr>
        <w:t xml:space="preserve"> do porto de Santarém (PA), estão dentro dos limites ecológicos da Floresta Amazônica, constitucionalmente classificada como patrimônio nacional (CF, art. 225, § 4º), cuja utilização subordina-se às disposições legais de regência, hão de observar sempre, as condições que assegurem a preservação do meio ambiente, afigurando-se insuficiente, na espécie, a existência de licenciamento ambiental somente estadual e/ou municipal, posto que, em casos assim, o bem a ser tutela é o meio ambiente ecologicamente equilibrado, em dimensão difusa e planetária, que não dispensa o inafastável estudo prévio de impacto ambiental, sob a fiscalização federal do IBAMA, conforme determinam, em casos que tais, os </w:t>
      </w:r>
      <w:proofErr w:type="spellStart"/>
      <w:r w:rsidRPr="0000017A">
        <w:rPr>
          <w:sz w:val="26"/>
          <w:szCs w:val="26"/>
        </w:rPr>
        <w:t>arts</w:t>
      </w:r>
      <w:proofErr w:type="spellEnd"/>
      <w:r w:rsidRPr="0000017A">
        <w:rPr>
          <w:sz w:val="26"/>
          <w:szCs w:val="26"/>
        </w:rPr>
        <w:t xml:space="preserve">. 23, incisos III, VI, VII, e 225, § 1º, IV, da Constituição Federal, o art. 10 da Lei nº 6.938/81 e as Resoluções </w:t>
      </w:r>
      <w:proofErr w:type="spellStart"/>
      <w:r w:rsidRPr="0000017A">
        <w:rPr>
          <w:sz w:val="26"/>
          <w:szCs w:val="26"/>
        </w:rPr>
        <w:t>nºs</w:t>
      </w:r>
      <w:proofErr w:type="spellEnd"/>
      <w:r w:rsidRPr="0000017A">
        <w:rPr>
          <w:sz w:val="26"/>
          <w:szCs w:val="26"/>
        </w:rPr>
        <w:t xml:space="preserve"> 001/86 e 237/97-CONAMA, bem assim, a norma expressa do art. 4º, § 1º, da Lei nº 8.630/93, no caso em exame.  VIII - Se nos termos cogentes da Carta Política Federal, o estudo de impacto ambiental há de ser prévio e não póstumo, como assim determinara a sentença recorrida, no prazo de 180 (cento e oitenta) dias, após o seu trânsito em julgado, não se deveria admitir a continuidade do terminal </w:t>
      </w:r>
      <w:proofErr w:type="spellStart"/>
      <w:r w:rsidRPr="0000017A">
        <w:rPr>
          <w:sz w:val="26"/>
          <w:szCs w:val="26"/>
        </w:rPr>
        <w:t>graneleiro</w:t>
      </w:r>
      <w:proofErr w:type="spellEnd"/>
      <w:r w:rsidRPr="0000017A">
        <w:rPr>
          <w:sz w:val="26"/>
          <w:szCs w:val="26"/>
        </w:rPr>
        <w:t xml:space="preserve">, no Porto de Santarém(PA), em manifesta afronta ao Acórdão do TRF/1ª Região, já transitado em julgado, há mais de 4 (quatro) anos, suspendendo o Alvará de Autorização nº 024/99 para a realização das obras no referido terminal portuário, bem assim, quaisquer outros alvarás, nesse sentido, sem a realização de estudo prévio de impacto ambiental, através de competente equipe multidisciplinar, de acordo com a Resolução nº 237/97 - CONAMA. Vencido, no ponto, o Relator.  IX - Se a sentença recorrida condenou, indevidamente, o Estado do Pará a realizar o EIA/RIMA, na espécie dos autos, há de submeter-se à remessa oficial, tida por interposta, a fim de que o Tribunal revisor possa adequá-la aos comandos de seu acórdão </w:t>
      </w:r>
      <w:r w:rsidRPr="0000017A">
        <w:rPr>
          <w:sz w:val="26"/>
          <w:szCs w:val="26"/>
        </w:rPr>
        <w:lastRenderedPageBreak/>
        <w:t xml:space="preserve">mandamental, já transitado em julgado, nos idos de 2003, no qual ordenou-se à empresa CARGIL AGRÍCOLA S/A a realização do estudo prévio de impacto ambiental, como condição para o licenciamento das obras do terminal </w:t>
      </w:r>
      <w:proofErr w:type="spellStart"/>
      <w:r w:rsidRPr="0000017A">
        <w:rPr>
          <w:sz w:val="26"/>
          <w:szCs w:val="26"/>
        </w:rPr>
        <w:t>graneleiro</w:t>
      </w:r>
      <w:proofErr w:type="spellEnd"/>
      <w:r w:rsidRPr="0000017A">
        <w:rPr>
          <w:sz w:val="26"/>
          <w:szCs w:val="26"/>
        </w:rPr>
        <w:t xml:space="preserve"> no porto de Santarém(PA), no que restou, afrontosamente, descumprido pela referida empresa.  X - Se o Acórdão do TRF/1ª Região, já transitado em julgado, desde o ano de 2003, confirmou a antecipação de tutela, deferida pelo juízo singular, no sentido de impedir a realização de qualquer obra, no aludido porto </w:t>
      </w:r>
      <w:proofErr w:type="spellStart"/>
      <w:r w:rsidRPr="0000017A">
        <w:rPr>
          <w:sz w:val="26"/>
          <w:szCs w:val="26"/>
        </w:rPr>
        <w:t>graneleiro</w:t>
      </w:r>
      <w:proofErr w:type="spellEnd"/>
      <w:r w:rsidRPr="0000017A">
        <w:rPr>
          <w:sz w:val="26"/>
          <w:szCs w:val="26"/>
        </w:rPr>
        <w:t xml:space="preserve"> de Santarém(PA), sem a realização do estudo prévio de impacto ambiental (EIA/RIMA), não poderia, jamais, a sentença recorrida inibi-lo, em sua eficácia mandamental e plena, ordenando, agora, a realização daquele estudo, em termos póstumos, no prazo de 180 (cento e oitenta) dias, após o seu trânsito em julgado, recebendo-se as apelações contra ela interpostas, em ambos os efeitos devolutivo e suspensivo, em frontal violação à norma do art. 520, inciso VII, do CPC, que, no caso em tela, somente admite a apelação em seu efeito devolutivo, visando garantir a eficácia imediata da tutela de urgência, como no caso em exame, já deferida há anos atrás, em defesa do meio ambiente ecologicamente equilibrado, para as presentes e futuras gerações. Rejeitou-se, contudo, a questão de ordem, suscitada pelo Representante do Ministério Público Federal, no ponto, restando vencido o Relator.  XI - Apelação da União Federal e da empresa CARGIL AGRÍCOLA S/A, bem assim, a remessa oficial, tida por interposta, desprovidas. Apelação do Estado do Pará, parcialmente provida. Agravo Regimental e pedido de reconsideração prejudicados.</w:t>
      </w:r>
    </w:p>
    <w:p w:rsidR="0000017A" w:rsidRPr="0000017A" w:rsidRDefault="0000017A" w:rsidP="0000017A">
      <w:pPr>
        <w:pStyle w:val="Transcrio"/>
        <w:ind w:left="1985"/>
        <w:rPr>
          <w:sz w:val="26"/>
          <w:szCs w:val="26"/>
        </w:rPr>
      </w:pPr>
      <w:r w:rsidRPr="0000017A">
        <w:rPr>
          <w:sz w:val="26"/>
          <w:szCs w:val="26"/>
        </w:rPr>
        <w:t>(AC 0000162-61.2000.4.01.3902 / PA, Rel. DESEMBARGADOR FEDERAL SOUZA PRUDENTE, SEXTA TURMA, DJ p.61 de 18/10/2007)</w:t>
      </w:r>
    </w:p>
    <w:p w:rsidR="0000017A" w:rsidRPr="0000017A" w:rsidRDefault="0000017A" w:rsidP="0000017A">
      <w:pPr>
        <w:pStyle w:val="Pargrafo"/>
        <w:ind w:left="1418" w:firstLine="567"/>
        <w:rPr>
          <w:i/>
          <w:sz w:val="26"/>
        </w:rPr>
      </w:pPr>
    </w:p>
    <w:p w:rsidR="0000017A" w:rsidRPr="0000017A" w:rsidRDefault="0000017A" w:rsidP="0000017A">
      <w:pPr>
        <w:pStyle w:val="Pargrafo"/>
        <w:spacing w:before="0" w:after="0"/>
        <w:ind w:left="1418" w:firstLine="567"/>
        <w:rPr>
          <w:i/>
          <w:sz w:val="26"/>
        </w:rPr>
      </w:pPr>
      <w:r w:rsidRPr="0000017A">
        <w:rPr>
          <w:i/>
          <w:sz w:val="26"/>
        </w:rPr>
        <w:t xml:space="preserve">Na hipótese em exame, segundo noticiam os elementos carreados para os presentes autos, além da ausência de realização da consulta prévia, livre e informada das comunidades quilombolas e demais populações tradicionais, localizadas na área de influência direta do empreendimento em referência, o licenciamento ambiental estaria a cargo, apenas, do órgão ambiental estadual, a caracterizar, também sob esse enfoque, a sua irregularidade, impondo-se, por conseguinte, a adoção da medida </w:t>
      </w:r>
      <w:proofErr w:type="spellStart"/>
      <w:r w:rsidRPr="0000017A">
        <w:rPr>
          <w:i/>
          <w:sz w:val="26"/>
        </w:rPr>
        <w:t>precautiva</w:t>
      </w:r>
      <w:proofErr w:type="spellEnd"/>
      <w:r w:rsidRPr="0000017A">
        <w:rPr>
          <w:i/>
          <w:sz w:val="26"/>
        </w:rPr>
        <w:t xml:space="preserve"> adotada pelo juízo monocrático.</w:t>
      </w:r>
    </w:p>
    <w:p w:rsidR="0000017A" w:rsidRPr="0000017A" w:rsidRDefault="0000017A" w:rsidP="0000017A">
      <w:pPr>
        <w:pStyle w:val="Pargrafo"/>
        <w:spacing w:before="0" w:after="0"/>
        <w:ind w:left="1418" w:firstLine="567"/>
        <w:rPr>
          <w:i/>
          <w:sz w:val="26"/>
        </w:rPr>
      </w:pPr>
      <w:r w:rsidRPr="0000017A">
        <w:rPr>
          <w:i/>
          <w:sz w:val="26"/>
        </w:rPr>
        <w:t xml:space="preserve">Com estas considerações, </w:t>
      </w:r>
      <w:r w:rsidRPr="0000017A">
        <w:rPr>
          <w:b/>
          <w:i/>
          <w:sz w:val="26"/>
        </w:rPr>
        <w:t>indefiro</w:t>
      </w:r>
      <w:r w:rsidRPr="0000017A">
        <w:rPr>
          <w:i/>
          <w:sz w:val="26"/>
        </w:rPr>
        <w:t xml:space="preserve"> o pedido de antecipação</w:t>
      </w:r>
      <w:r>
        <w:rPr>
          <w:i/>
          <w:sz w:val="26"/>
        </w:rPr>
        <w:t xml:space="preserve"> da tutela formulado na inicial”.</w:t>
      </w:r>
    </w:p>
    <w:p w:rsidR="0000017A" w:rsidRDefault="0000017A" w:rsidP="0000017A">
      <w:pPr>
        <w:pStyle w:val="Pargrafo"/>
        <w:spacing w:before="0" w:after="0" w:line="360" w:lineRule="auto"/>
        <w:rPr>
          <w:sz w:val="26"/>
        </w:rPr>
      </w:pPr>
    </w:p>
    <w:p w:rsidR="0000017A" w:rsidRDefault="0000017A" w:rsidP="0000017A">
      <w:pPr>
        <w:pStyle w:val="Pargrafo"/>
        <w:spacing w:before="0" w:after="0" w:line="360" w:lineRule="auto"/>
        <w:rPr>
          <w:sz w:val="26"/>
        </w:rPr>
      </w:pPr>
      <w:r>
        <w:rPr>
          <w:sz w:val="26"/>
        </w:rPr>
        <w:t xml:space="preserve">Com visto, a decisão agravada já foi objeto de exame, e manutenção, por este egrégio Tribunal, ainda que em sede provisória, razão por que, adotando </w:t>
      </w:r>
      <w:r>
        <w:rPr>
          <w:sz w:val="26"/>
        </w:rPr>
        <w:lastRenderedPageBreak/>
        <w:t xml:space="preserve">como razões de decidir os mesmos fundamentos do </w:t>
      </w:r>
      <w:proofErr w:type="spellStart"/>
      <w:r w:rsidRPr="0000017A">
        <w:rPr>
          <w:b/>
          <w:i/>
          <w:sz w:val="26"/>
        </w:rPr>
        <w:t>decisum</w:t>
      </w:r>
      <w:proofErr w:type="spellEnd"/>
      <w:r>
        <w:rPr>
          <w:sz w:val="26"/>
        </w:rPr>
        <w:t xml:space="preserve"> acima transcrito, </w:t>
      </w:r>
      <w:r w:rsidRPr="0000017A">
        <w:rPr>
          <w:b/>
          <w:sz w:val="26"/>
        </w:rPr>
        <w:t>indefiro</w:t>
      </w:r>
      <w:r>
        <w:rPr>
          <w:sz w:val="26"/>
        </w:rPr>
        <w:t>, também aqui, o pedido de antecipação da tutela recursal formulado na inicial.</w:t>
      </w:r>
    </w:p>
    <w:p w:rsidR="0000017A" w:rsidRDefault="0000017A" w:rsidP="0000017A">
      <w:pPr>
        <w:pStyle w:val="Pargrafo"/>
        <w:spacing w:before="0" w:after="0" w:line="360" w:lineRule="auto"/>
        <w:rPr>
          <w:sz w:val="26"/>
        </w:rPr>
      </w:pPr>
      <w:r>
        <w:rPr>
          <w:sz w:val="26"/>
        </w:rPr>
        <w:t xml:space="preserve">Oficie-se ao juízo </w:t>
      </w:r>
      <w:r>
        <w:rPr>
          <w:b/>
          <w:sz w:val="26"/>
        </w:rPr>
        <w:t xml:space="preserve">a </w:t>
      </w:r>
      <w:proofErr w:type="spellStart"/>
      <w:r>
        <w:rPr>
          <w:b/>
          <w:sz w:val="26"/>
        </w:rPr>
        <w:t>quo</w:t>
      </w:r>
      <w:proofErr w:type="spellEnd"/>
      <w:r>
        <w:rPr>
          <w:sz w:val="26"/>
        </w:rPr>
        <w:t xml:space="preserve">, comunicando-lhe o inteiro teor desta decisão, na dimensão </w:t>
      </w:r>
      <w:proofErr w:type="spellStart"/>
      <w:r>
        <w:rPr>
          <w:sz w:val="26"/>
        </w:rPr>
        <w:t>eficacial</w:t>
      </w:r>
      <w:proofErr w:type="spellEnd"/>
      <w:r>
        <w:rPr>
          <w:sz w:val="26"/>
        </w:rPr>
        <w:t xml:space="preserve"> do art. 1008 do CPC vigente.</w:t>
      </w:r>
    </w:p>
    <w:p w:rsidR="0000017A" w:rsidRDefault="0000017A" w:rsidP="0000017A">
      <w:pPr>
        <w:pStyle w:val="Pargrafo"/>
        <w:spacing w:before="0" w:after="0" w:line="360" w:lineRule="auto"/>
        <w:rPr>
          <w:sz w:val="26"/>
        </w:rPr>
      </w:pPr>
      <w:r>
        <w:rPr>
          <w:sz w:val="26"/>
        </w:rPr>
        <w:t>Intimem-se os agravados, nos termos e para as finalidades do art. 1019, II, do referido diploma legal, abrindo-se vistas, após, à douta Procuradoria Regional da Republica, na forma regimental.</w:t>
      </w:r>
    </w:p>
    <w:p w:rsidR="0000017A" w:rsidRDefault="0000017A" w:rsidP="0000017A">
      <w:pPr>
        <w:pStyle w:val="Pargrafo"/>
        <w:spacing w:before="0" w:after="0" w:line="360" w:lineRule="auto"/>
        <w:rPr>
          <w:iCs/>
          <w:sz w:val="26"/>
        </w:rPr>
      </w:pPr>
      <w:r>
        <w:rPr>
          <w:iCs/>
          <w:sz w:val="26"/>
        </w:rPr>
        <w:t>Publique-se.</w:t>
      </w:r>
    </w:p>
    <w:p w:rsidR="0000017A" w:rsidRDefault="0000017A" w:rsidP="0000017A">
      <w:pPr>
        <w:pStyle w:val="Pargrafo"/>
        <w:tabs>
          <w:tab w:val="left" w:pos="1368"/>
        </w:tabs>
        <w:spacing w:before="0" w:after="0" w:line="360" w:lineRule="auto"/>
        <w:ind w:firstLine="1425"/>
        <w:rPr>
          <w:sz w:val="26"/>
          <w:szCs w:val="26"/>
        </w:rPr>
      </w:pPr>
      <w:r>
        <w:rPr>
          <w:sz w:val="26"/>
          <w:szCs w:val="26"/>
        </w:rPr>
        <w:t>Brasília-DF., em 29 de setembro de 2016.</w:t>
      </w:r>
    </w:p>
    <w:p w:rsidR="0000017A" w:rsidRDefault="0000017A" w:rsidP="0000017A">
      <w:pPr>
        <w:pStyle w:val="Identificao"/>
        <w:jc w:val="center"/>
        <w:rPr>
          <w:b/>
          <w:bCs/>
          <w:sz w:val="26"/>
          <w:szCs w:val="26"/>
        </w:rPr>
      </w:pPr>
    </w:p>
    <w:p w:rsidR="0000017A" w:rsidRDefault="0000017A" w:rsidP="0000017A">
      <w:pPr>
        <w:pStyle w:val="Identificao"/>
        <w:jc w:val="center"/>
        <w:rPr>
          <w:b/>
          <w:bCs/>
          <w:sz w:val="26"/>
          <w:szCs w:val="26"/>
        </w:rPr>
      </w:pPr>
      <w:r>
        <w:rPr>
          <w:b/>
          <w:bCs/>
          <w:sz w:val="26"/>
          <w:szCs w:val="26"/>
        </w:rPr>
        <w:t xml:space="preserve">Desembargador Federal SOUZA PRUDENTE </w:t>
      </w:r>
    </w:p>
    <w:p w:rsidR="0000017A" w:rsidRDefault="0000017A" w:rsidP="0000017A">
      <w:pPr>
        <w:pStyle w:val="Identificao"/>
        <w:jc w:val="center"/>
      </w:pPr>
      <w:r>
        <w:rPr>
          <w:b/>
          <w:bCs/>
          <w:sz w:val="26"/>
          <w:szCs w:val="26"/>
        </w:rPr>
        <w:t>Relator</w:t>
      </w:r>
    </w:p>
    <w:p w:rsidR="0000017A" w:rsidRDefault="0000017A" w:rsidP="0000017A">
      <w:pPr>
        <w:pStyle w:val="Identificao"/>
      </w:pPr>
    </w:p>
    <w:p w:rsidR="0000017A" w:rsidRDefault="0000017A" w:rsidP="0000017A">
      <w:pPr>
        <w:pStyle w:val="Identificao"/>
      </w:pPr>
    </w:p>
    <w:p w:rsidR="0000017A" w:rsidRDefault="0000017A" w:rsidP="0000017A">
      <w:pPr>
        <w:pStyle w:val="Identificao"/>
      </w:pPr>
    </w:p>
    <w:p w:rsidR="0015179D" w:rsidRPr="0000017A" w:rsidRDefault="0015179D" w:rsidP="0000017A">
      <w:pPr>
        <w:pStyle w:val="Identificao"/>
      </w:pPr>
    </w:p>
    <w:sectPr w:rsidR="0015179D" w:rsidRPr="0000017A"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17A" w:rsidRDefault="0000017A">
      <w:r>
        <w:separator/>
      </w:r>
    </w:p>
  </w:endnote>
  <w:endnote w:type="continuationSeparator" w:id="0">
    <w:p w:rsidR="0000017A" w:rsidRDefault="000001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C568D1">
      <w:rPr>
        <w:rFonts w:ascii="Arial" w:hAnsi="Arial"/>
        <w:sz w:val="10"/>
      </w:rPr>
      <w:fldChar w:fldCharType="begin"/>
    </w:r>
    <w:r>
      <w:rPr>
        <w:rFonts w:ascii="Arial" w:hAnsi="Arial"/>
        <w:sz w:val="10"/>
      </w:rPr>
      <w:instrText xml:space="preserve"> FILENAME \p </w:instrText>
    </w:r>
    <w:r w:rsidR="00C568D1">
      <w:rPr>
        <w:rFonts w:ascii="Arial" w:hAnsi="Arial"/>
        <w:sz w:val="10"/>
      </w:rPr>
      <w:fldChar w:fldCharType="separate"/>
    </w:r>
    <w:r w:rsidR="00315921">
      <w:rPr>
        <w:rFonts w:ascii="Arial" w:hAnsi="Arial"/>
        <w:noProof/>
        <w:sz w:val="10"/>
      </w:rPr>
      <w:t>W:\AGRAVOS\AçãoCivilPública\TerminalPortuário\578508520164010000.docx</w:t>
    </w:r>
    <w:r w:rsidR="00C568D1">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sidR="00C568D1">
      <w:rPr>
        <w:rFonts w:ascii="Arial" w:hAnsi="Arial"/>
        <w:sz w:val="13"/>
      </w:rPr>
      <w:fldChar w:fldCharType="begin"/>
    </w:r>
    <w:r>
      <w:rPr>
        <w:rFonts w:ascii="Arial" w:hAnsi="Arial"/>
        <w:sz w:val="13"/>
      </w:rPr>
      <w:instrText xml:space="preserve"> FILENAME \p </w:instrText>
    </w:r>
    <w:r w:rsidR="00C568D1">
      <w:rPr>
        <w:rFonts w:ascii="Arial" w:hAnsi="Arial"/>
        <w:sz w:val="13"/>
      </w:rPr>
      <w:fldChar w:fldCharType="separate"/>
    </w:r>
    <w:r w:rsidR="00315921">
      <w:rPr>
        <w:rFonts w:ascii="Arial" w:hAnsi="Arial"/>
        <w:noProof/>
        <w:sz w:val="13"/>
      </w:rPr>
      <w:t>W:\AGRAVOS\AçãoCivilPública\TerminalPortuário\578508520164010000.docx</w:t>
    </w:r>
    <w:r w:rsidR="00C568D1">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sidR="00C568D1">
      <w:rPr>
        <w:rFonts w:ascii="Arial" w:hAnsi="Arial"/>
        <w:sz w:val="13"/>
      </w:rPr>
      <w:fldChar w:fldCharType="begin"/>
    </w:r>
    <w:r>
      <w:rPr>
        <w:rFonts w:ascii="Arial" w:hAnsi="Arial"/>
        <w:sz w:val="13"/>
      </w:rPr>
      <w:instrText xml:space="preserve"> AUTHOR </w:instrText>
    </w:r>
    <w:r w:rsidR="00C568D1">
      <w:rPr>
        <w:rFonts w:ascii="Arial" w:hAnsi="Arial"/>
        <w:sz w:val="13"/>
      </w:rPr>
      <w:fldChar w:fldCharType="separate"/>
    </w:r>
    <w:r w:rsidR="00315921">
      <w:rPr>
        <w:rFonts w:ascii="Arial" w:hAnsi="Arial"/>
        <w:noProof/>
        <w:sz w:val="13"/>
      </w:rPr>
      <w:t>Francisco Lacerda</w:t>
    </w:r>
    <w:r w:rsidR="00C568D1">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17A" w:rsidRDefault="0000017A">
      <w:r>
        <w:separator/>
      </w:r>
    </w:p>
  </w:footnote>
  <w:footnote w:type="continuationSeparator" w:id="0">
    <w:p w:rsidR="0000017A" w:rsidRDefault="000001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C568D1">
      <w:rPr>
        <w:rFonts w:ascii="Arial" w:hAnsi="Arial" w:cs="Arial"/>
        <w:bCs/>
        <w:sz w:val="16"/>
      </w:rPr>
      <w:fldChar w:fldCharType="begin"/>
    </w:r>
    <w:r>
      <w:rPr>
        <w:rFonts w:ascii="Arial" w:hAnsi="Arial" w:cs="Arial"/>
        <w:bCs/>
        <w:sz w:val="16"/>
      </w:rPr>
      <w:instrText xml:space="preserve"> PAGE </w:instrText>
    </w:r>
    <w:r w:rsidR="00C568D1">
      <w:rPr>
        <w:rFonts w:ascii="Arial" w:hAnsi="Arial" w:cs="Arial"/>
        <w:bCs/>
        <w:sz w:val="16"/>
      </w:rPr>
      <w:fldChar w:fldCharType="separate"/>
    </w:r>
    <w:r w:rsidR="001C19FA">
      <w:rPr>
        <w:rFonts w:ascii="Arial" w:hAnsi="Arial" w:cs="Arial"/>
        <w:bCs/>
        <w:noProof/>
        <w:sz w:val="16"/>
      </w:rPr>
      <w:t>25</w:t>
    </w:r>
    <w:r w:rsidR="00C568D1">
      <w:rPr>
        <w:rFonts w:ascii="Arial" w:hAnsi="Arial" w:cs="Arial"/>
        <w:bCs/>
        <w:sz w:val="16"/>
      </w:rPr>
      <w:fldChar w:fldCharType="end"/>
    </w:r>
    <w:r>
      <w:rPr>
        <w:rFonts w:ascii="Arial" w:hAnsi="Arial" w:cs="Arial"/>
        <w:bCs/>
        <w:sz w:val="16"/>
      </w:rPr>
      <w:t>/</w:t>
    </w:r>
    <w:r w:rsidR="00C568D1">
      <w:rPr>
        <w:rFonts w:ascii="Arial" w:hAnsi="Arial" w:cs="Arial"/>
        <w:bCs/>
        <w:sz w:val="16"/>
      </w:rPr>
      <w:fldChar w:fldCharType="begin"/>
    </w:r>
    <w:r>
      <w:rPr>
        <w:rFonts w:ascii="Arial" w:hAnsi="Arial" w:cs="Arial"/>
        <w:bCs/>
        <w:sz w:val="16"/>
      </w:rPr>
      <w:instrText xml:space="preserve"> NUMPAGES </w:instrText>
    </w:r>
    <w:r w:rsidR="00C568D1">
      <w:rPr>
        <w:rFonts w:ascii="Arial" w:hAnsi="Arial" w:cs="Arial"/>
        <w:bCs/>
        <w:sz w:val="16"/>
      </w:rPr>
      <w:fldChar w:fldCharType="separate"/>
    </w:r>
    <w:r w:rsidR="001C19FA">
      <w:rPr>
        <w:rFonts w:ascii="Arial" w:hAnsi="Arial" w:cs="Arial"/>
        <w:bCs/>
        <w:noProof/>
        <w:sz w:val="16"/>
      </w:rPr>
      <w:t>25</w:t>
    </w:r>
    <w:r w:rsidR="00C568D1">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17A" w:rsidRPr="0000017A" w:rsidRDefault="0000017A" w:rsidP="0000017A">
    <w:pPr>
      <w:jc w:val="right"/>
      <w:rPr>
        <w:rFonts w:ascii="Interleaved 2of5" w:hAnsi="Interleaved 2of5"/>
        <w:sz w:val="48"/>
      </w:rPr>
    </w:pPr>
    <w:r w:rsidRPr="0000017A">
      <w:rPr>
        <w:rFonts w:ascii="Interleaved 2of5" w:hAnsi="Interleaved 2of5"/>
        <w:sz w:val="48"/>
      </w:rPr>
      <w:t>(Çã8Â1Î100)</w:t>
    </w:r>
  </w:p>
  <w:p w:rsidR="004554A7" w:rsidRDefault="0000017A"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DA5127"/>
    <w:rsid w:val="0000017A"/>
    <w:rsid w:val="0015179D"/>
    <w:rsid w:val="00191A8C"/>
    <w:rsid w:val="001C19FA"/>
    <w:rsid w:val="002331F7"/>
    <w:rsid w:val="00315921"/>
    <w:rsid w:val="00413610"/>
    <w:rsid w:val="004269A8"/>
    <w:rsid w:val="004554A7"/>
    <w:rsid w:val="00462716"/>
    <w:rsid w:val="00471CDF"/>
    <w:rsid w:val="004C17AC"/>
    <w:rsid w:val="005E20DB"/>
    <w:rsid w:val="006779DE"/>
    <w:rsid w:val="006A4ECE"/>
    <w:rsid w:val="00704C5D"/>
    <w:rsid w:val="007A7066"/>
    <w:rsid w:val="007C3424"/>
    <w:rsid w:val="008713AE"/>
    <w:rsid w:val="00872397"/>
    <w:rsid w:val="008A3D69"/>
    <w:rsid w:val="008C4395"/>
    <w:rsid w:val="0099169E"/>
    <w:rsid w:val="00C5492A"/>
    <w:rsid w:val="00C568D1"/>
    <w:rsid w:val="00D221D6"/>
    <w:rsid w:val="00DA5127"/>
    <w:rsid w:val="00DD0AC9"/>
    <w:rsid w:val="00E850E4"/>
    <w:rsid w:val="00EE64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017A"/>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DA5127"/>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rsid w:val="00DA5127"/>
    <w:pPr>
      <w:spacing w:before="120" w:after="120"/>
      <w:ind w:firstLine="1418"/>
      <w:jc w:val="both"/>
    </w:pPr>
    <w:rPr>
      <w:rFonts w:ascii="Arial" w:hAnsi="Arial"/>
      <w:sz w:val="22"/>
    </w:rPr>
  </w:style>
  <w:style w:type="paragraph" w:customStyle="1" w:styleId="centralizar">
    <w:name w:val="centralizar"/>
    <w:basedOn w:val="Pargrafo"/>
    <w:next w:val="Pargrafo"/>
    <w:rsid w:val="00DA5127"/>
    <w:pPr>
      <w:spacing w:before="360" w:after="360"/>
      <w:ind w:firstLine="0"/>
      <w:jc w:val="center"/>
    </w:pPr>
    <w:rPr>
      <w:b/>
    </w:rPr>
  </w:style>
  <w:style w:type="paragraph" w:customStyle="1" w:styleId="Transcrio">
    <w:name w:val="Transcrição"/>
    <w:basedOn w:val="Pargrafo"/>
    <w:link w:val="TranscrioChar"/>
    <w:rsid w:val="00DA5127"/>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DA5127"/>
    <w:pPr>
      <w:ind w:left="2835"/>
    </w:pPr>
  </w:style>
  <w:style w:type="paragraph" w:customStyle="1" w:styleId="transcrio3">
    <w:name w:val="transcrição 3"/>
    <w:basedOn w:val="Identificao"/>
    <w:rsid w:val="00DA5127"/>
    <w:pPr>
      <w:ind w:left="3686"/>
    </w:pPr>
    <w:rPr>
      <w:i/>
      <w:iCs/>
    </w:rPr>
  </w:style>
  <w:style w:type="paragraph" w:customStyle="1" w:styleId="transcrio4">
    <w:name w:val="transcrição 4"/>
    <w:basedOn w:val="transcrio3"/>
    <w:rsid w:val="00DA5127"/>
    <w:pPr>
      <w:ind w:left="4536"/>
    </w:pPr>
  </w:style>
  <w:style w:type="paragraph" w:customStyle="1" w:styleId="assinatura">
    <w:name w:val="assinatura"/>
    <w:basedOn w:val="Pargrafo"/>
    <w:rsid w:val="00DA5127"/>
    <w:pPr>
      <w:spacing w:before="0" w:after="0"/>
      <w:ind w:firstLine="0"/>
      <w:jc w:val="center"/>
    </w:pPr>
  </w:style>
  <w:style w:type="paragraph" w:customStyle="1" w:styleId="Pargrafo2">
    <w:name w:val="Parágrafo 2"/>
    <w:basedOn w:val="Pargrafo"/>
    <w:rsid w:val="00DA5127"/>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00017A"/>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00017A"/>
    <w:rPr>
      <w:rFonts w:ascii="Consolas" w:eastAsiaTheme="minorHAnsi" w:hAnsi="Consolas" w:cstheme="minorBidi"/>
      <w:sz w:val="21"/>
      <w:szCs w:val="21"/>
      <w:lang w:eastAsia="en-US"/>
    </w:rPr>
  </w:style>
  <w:style w:type="character" w:customStyle="1" w:styleId="TranscrioChar">
    <w:name w:val="Transcrição Char"/>
    <w:basedOn w:val="Fontepargpadro"/>
    <w:link w:val="Transcrio"/>
    <w:locked/>
    <w:rsid w:val="0000017A"/>
    <w:rPr>
      <w:rFonts w:ascii="Arial" w:hAnsi="Arial"/>
      <w:i/>
      <w:sz w:val="22"/>
      <w:szCs w:val="24"/>
    </w:rPr>
  </w:style>
  <w:style w:type="paragraph" w:styleId="Textodebalo">
    <w:name w:val="Balloon Text"/>
    <w:basedOn w:val="Normal"/>
    <w:link w:val="TextodebaloChar"/>
    <w:rsid w:val="00704C5D"/>
    <w:rPr>
      <w:rFonts w:ascii="Tahoma" w:hAnsi="Tahoma" w:cs="Tahoma"/>
      <w:sz w:val="16"/>
      <w:szCs w:val="16"/>
    </w:rPr>
  </w:style>
  <w:style w:type="character" w:customStyle="1" w:styleId="TextodebaloChar">
    <w:name w:val="Texto de balão Char"/>
    <w:basedOn w:val="Fontepargpadro"/>
    <w:link w:val="Textodebalo"/>
    <w:rsid w:val="00704C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5652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2</TotalTime>
  <Pages>25</Pages>
  <Words>9801</Words>
  <Characters>55918</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65588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Lacerda</dc:creator>
  <cp:lastModifiedBy>tr19328ps</cp:lastModifiedBy>
  <cp:revision>2</cp:revision>
  <cp:lastPrinted>2016-09-29T21:43:00Z</cp:lastPrinted>
  <dcterms:created xsi:type="dcterms:W3CDTF">2016-09-30T17:03:00Z</dcterms:created>
  <dcterms:modified xsi:type="dcterms:W3CDTF">2016-09-30T17:03:00Z</dcterms:modified>
</cp:coreProperties>
</file>