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66FF" w:rsidRPr="003D419C" w:rsidRDefault="008566FF" w:rsidP="008566FF">
      <w:pPr>
        <w:pStyle w:val="Identificao"/>
      </w:pPr>
      <w:r w:rsidRPr="003D419C">
        <w:t>AGRAVO DE INSTRUMENTO  0057850-85.2016.4.01.0000/PA</w:t>
      </w:r>
    </w:p>
    <w:p w:rsidR="008566FF" w:rsidRPr="003D419C" w:rsidRDefault="008566FF" w:rsidP="008566FF">
      <w:pPr>
        <w:pStyle w:val="Identificao"/>
      </w:pPr>
      <w:r w:rsidRPr="003D419C">
        <w:t>Processo na Origem: 3777520164013902</w:t>
      </w:r>
    </w:p>
    <w:p w:rsidR="008566FF" w:rsidRDefault="008566FF" w:rsidP="008566FF">
      <w:pPr>
        <w:pStyle w:val="Identificao"/>
      </w:pPr>
    </w:p>
    <w:tbl>
      <w:tblPr>
        <w:tblW w:w="9900" w:type="dxa"/>
        <w:tblLayout w:type="fixed"/>
        <w:tblCellMar>
          <w:left w:w="70" w:type="dxa"/>
          <w:right w:w="70" w:type="dxa"/>
        </w:tblCellMar>
        <w:tblLook w:val="0000"/>
      </w:tblPr>
      <w:tblGrid>
        <w:gridCol w:w="2000"/>
        <w:gridCol w:w="300"/>
        <w:gridCol w:w="7600"/>
      </w:tblGrid>
      <w:tr w:rsidR="008566FF" w:rsidRPr="00260D5D" w:rsidTr="00904C31">
        <w:tc>
          <w:tcPr>
            <w:tcW w:w="2000" w:type="dxa"/>
            <w:shd w:val="clear" w:color="auto" w:fill="auto"/>
          </w:tcPr>
          <w:p w:rsidR="008566FF" w:rsidRPr="00260D5D" w:rsidRDefault="008566FF" w:rsidP="00904C31">
            <w:pPr>
              <w:pStyle w:val="Identificao"/>
            </w:pPr>
            <w:r w:rsidRPr="00260D5D">
              <w:t>RELATOR(A)</w:t>
            </w:r>
          </w:p>
        </w:tc>
        <w:tc>
          <w:tcPr>
            <w:tcW w:w="300" w:type="dxa"/>
            <w:shd w:val="clear" w:color="auto" w:fill="auto"/>
          </w:tcPr>
          <w:p w:rsidR="008566FF" w:rsidRPr="00260D5D" w:rsidRDefault="008566FF" w:rsidP="00904C31">
            <w:pPr>
              <w:pStyle w:val="Identificao"/>
            </w:pPr>
            <w:r w:rsidRPr="00260D5D">
              <w:t>:</w:t>
            </w:r>
          </w:p>
        </w:tc>
        <w:tc>
          <w:tcPr>
            <w:tcW w:w="7600" w:type="dxa"/>
            <w:shd w:val="clear" w:color="auto" w:fill="auto"/>
          </w:tcPr>
          <w:p w:rsidR="008566FF" w:rsidRPr="00260D5D" w:rsidRDefault="008566FF" w:rsidP="00904C31">
            <w:pPr>
              <w:pStyle w:val="Identificao"/>
            </w:pPr>
            <w:r w:rsidRPr="00260D5D">
              <w:t>DESEMBARGADOR FEDERAL SOUZA PRUDENTE</w:t>
            </w:r>
          </w:p>
        </w:tc>
      </w:tr>
      <w:tr w:rsidR="008566FF" w:rsidRPr="00260D5D" w:rsidTr="00904C31">
        <w:tc>
          <w:tcPr>
            <w:tcW w:w="2000" w:type="dxa"/>
            <w:shd w:val="clear" w:color="auto" w:fill="auto"/>
          </w:tcPr>
          <w:p w:rsidR="008566FF" w:rsidRPr="00260D5D" w:rsidRDefault="008566FF" w:rsidP="00904C31">
            <w:pPr>
              <w:pStyle w:val="Identificao"/>
            </w:pPr>
            <w:r w:rsidRPr="00260D5D">
              <w:t>AGRAVANTE</w:t>
            </w:r>
          </w:p>
        </w:tc>
        <w:tc>
          <w:tcPr>
            <w:tcW w:w="300" w:type="dxa"/>
            <w:shd w:val="clear" w:color="auto" w:fill="auto"/>
          </w:tcPr>
          <w:p w:rsidR="008566FF" w:rsidRPr="00260D5D" w:rsidRDefault="008566FF" w:rsidP="00904C31">
            <w:pPr>
              <w:pStyle w:val="Identificao"/>
            </w:pPr>
            <w:r w:rsidRPr="00260D5D">
              <w:t>:</w:t>
            </w:r>
          </w:p>
        </w:tc>
        <w:tc>
          <w:tcPr>
            <w:tcW w:w="7600" w:type="dxa"/>
            <w:shd w:val="clear" w:color="auto" w:fill="auto"/>
          </w:tcPr>
          <w:p w:rsidR="008566FF" w:rsidRPr="00260D5D" w:rsidRDefault="008566FF" w:rsidP="00904C31">
            <w:pPr>
              <w:pStyle w:val="Identificao"/>
            </w:pPr>
            <w:r w:rsidRPr="00260D5D">
              <w:t xml:space="preserve">ESTADO DO PARA </w:t>
            </w:r>
          </w:p>
        </w:tc>
      </w:tr>
      <w:tr w:rsidR="008566FF" w:rsidRPr="00260D5D" w:rsidTr="00904C31">
        <w:tc>
          <w:tcPr>
            <w:tcW w:w="2000" w:type="dxa"/>
            <w:shd w:val="clear" w:color="auto" w:fill="auto"/>
          </w:tcPr>
          <w:p w:rsidR="008566FF" w:rsidRPr="00260D5D" w:rsidRDefault="008566FF" w:rsidP="00904C31">
            <w:pPr>
              <w:pStyle w:val="Identificao"/>
            </w:pPr>
            <w:r w:rsidRPr="00260D5D">
              <w:t>PROCURADOR</w:t>
            </w:r>
          </w:p>
        </w:tc>
        <w:tc>
          <w:tcPr>
            <w:tcW w:w="300" w:type="dxa"/>
            <w:shd w:val="clear" w:color="auto" w:fill="auto"/>
          </w:tcPr>
          <w:p w:rsidR="008566FF" w:rsidRPr="00260D5D" w:rsidRDefault="008566FF" w:rsidP="00904C31">
            <w:pPr>
              <w:pStyle w:val="Identificao"/>
            </w:pPr>
            <w:r w:rsidRPr="00260D5D">
              <w:t>:</w:t>
            </w:r>
          </w:p>
        </w:tc>
        <w:tc>
          <w:tcPr>
            <w:tcW w:w="7600" w:type="dxa"/>
            <w:shd w:val="clear" w:color="auto" w:fill="auto"/>
          </w:tcPr>
          <w:p w:rsidR="008566FF" w:rsidRPr="00260D5D" w:rsidRDefault="008566FF" w:rsidP="00904C31">
            <w:pPr>
              <w:pStyle w:val="Identificao"/>
            </w:pPr>
            <w:r w:rsidRPr="00260D5D">
              <w:t xml:space="preserve">ROGERIO ARTHUR FRIZA CHAVES </w:t>
            </w:r>
          </w:p>
        </w:tc>
      </w:tr>
      <w:tr w:rsidR="008566FF" w:rsidRPr="00260D5D" w:rsidTr="00904C31">
        <w:tc>
          <w:tcPr>
            <w:tcW w:w="2000" w:type="dxa"/>
            <w:shd w:val="clear" w:color="auto" w:fill="auto"/>
          </w:tcPr>
          <w:p w:rsidR="008566FF" w:rsidRPr="00260D5D" w:rsidRDefault="008566FF" w:rsidP="00904C31">
            <w:pPr>
              <w:pStyle w:val="Identificao"/>
            </w:pPr>
            <w:r w:rsidRPr="00260D5D">
              <w:t>AGRAVADO</w:t>
            </w:r>
          </w:p>
        </w:tc>
        <w:tc>
          <w:tcPr>
            <w:tcW w:w="300" w:type="dxa"/>
            <w:shd w:val="clear" w:color="auto" w:fill="auto"/>
          </w:tcPr>
          <w:p w:rsidR="008566FF" w:rsidRPr="00260D5D" w:rsidRDefault="008566FF" w:rsidP="00904C31">
            <w:pPr>
              <w:pStyle w:val="Identificao"/>
            </w:pPr>
            <w:r w:rsidRPr="00260D5D">
              <w:t>:</w:t>
            </w:r>
          </w:p>
        </w:tc>
        <w:tc>
          <w:tcPr>
            <w:tcW w:w="7600" w:type="dxa"/>
            <w:shd w:val="clear" w:color="auto" w:fill="auto"/>
          </w:tcPr>
          <w:p w:rsidR="008566FF" w:rsidRPr="00260D5D" w:rsidRDefault="008566FF" w:rsidP="00904C31">
            <w:pPr>
              <w:pStyle w:val="Identificao"/>
            </w:pPr>
            <w:r w:rsidRPr="00260D5D">
              <w:t xml:space="preserve">MINISTERIO PUBLICO FEDERAL </w:t>
            </w:r>
          </w:p>
        </w:tc>
      </w:tr>
      <w:tr w:rsidR="008566FF" w:rsidRPr="00260D5D" w:rsidTr="00904C31">
        <w:tc>
          <w:tcPr>
            <w:tcW w:w="2000" w:type="dxa"/>
            <w:shd w:val="clear" w:color="auto" w:fill="auto"/>
          </w:tcPr>
          <w:p w:rsidR="008566FF" w:rsidRPr="00260D5D" w:rsidRDefault="008566FF" w:rsidP="00904C31">
            <w:pPr>
              <w:pStyle w:val="Identificao"/>
            </w:pPr>
            <w:r w:rsidRPr="00260D5D">
              <w:t>PROCURADOR</w:t>
            </w:r>
          </w:p>
        </w:tc>
        <w:tc>
          <w:tcPr>
            <w:tcW w:w="300" w:type="dxa"/>
            <w:shd w:val="clear" w:color="auto" w:fill="auto"/>
          </w:tcPr>
          <w:p w:rsidR="008566FF" w:rsidRPr="00260D5D" w:rsidRDefault="008566FF" w:rsidP="00904C31">
            <w:pPr>
              <w:pStyle w:val="Identificao"/>
            </w:pPr>
            <w:r w:rsidRPr="00260D5D">
              <w:t>:</w:t>
            </w:r>
          </w:p>
        </w:tc>
        <w:tc>
          <w:tcPr>
            <w:tcW w:w="7600" w:type="dxa"/>
            <w:shd w:val="clear" w:color="auto" w:fill="auto"/>
          </w:tcPr>
          <w:p w:rsidR="008566FF" w:rsidRPr="00260D5D" w:rsidRDefault="008566FF" w:rsidP="00904C31">
            <w:pPr>
              <w:pStyle w:val="Identificao"/>
            </w:pPr>
            <w:r w:rsidRPr="00260D5D">
              <w:t xml:space="preserve">FABIANA KEYLLA SHNEIDER </w:t>
            </w:r>
          </w:p>
        </w:tc>
      </w:tr>
      <w:tr w:rsidR="008566FF" w:rsidRPr="00260D5D" w:rsidTr="00904C31">
        <w:tc>
          <w:tcPr>
            <w:tcW w:w="2000" w:type="dxa"/>
            <w:shd w:val="clear" w:color="auto" w:fill="auto"/>
          </w:tcPr>
          <w:p w:rsidR="008566FF" w:rsidRPr="00260D5D" w:rsidRDefault="008566FF" w:rsidP="00904C31">
            <w:pPr>
              <w:pStyle w:val="Identificao"/>
            </w:pPr>
            <w:r w:rsidRPr="00260D5D">
              <w:t>AGRAVADO</w:t>
            </w:r>
          </w:p>
        </w:tc>
        <w:tc>
          <w:tcPr>
            <w:tcW w:w="300" w:type="dxa"/>
            <w:shd w:val="clear" w:color="auto" w:fill="auto"/>
          </w:tcPr>
          <w:p w:rsidR="008566FF" w:rsidRPr="00260D5D" w:rsidRDefault="008566FF" w:rsidP="00904C31">
            <w:pPr>
              <w:pStyle w:val="Identificao"/>
            </w:pPr>
            <w:r w:rsidRPr="00260D5D">
              <w:t>:</w:t>
            </w:r>
          </w:p>
        </w:tc>
        <w:tc>
          <w:tcPr>
            <w:tcW w:w="7600" w:type="dxa"/>
            <w:shd w:val="clear" w:color="auto" w:fill="auto"/>
          </w:tcPr>
          <w:p w:rsidR="008566FF" w:rsidRPr="00260D5D" w:rsidRDefault="008566FF" w:rsidP="00904C31">
            <w:pPr>
              <w:pStyle w:val="Identificao"/>
            </w:pPr>
            <w:r w:rsidRPr="00260D5D">
              <w:t xml:space="preserve">MINISTERIO PUBLICO DO ESTADO DO PARA - MPPA </w:t>
            </w:r>
          </w:p>
        </w:tc>
      </w:tr>
      <w:tr w:rsidR="008566FF" w:rsidRPr="00260D5D" w:rsidTr="00904C31">
        <w:tc>
          <w:tcPr>
            <w:tcW w:w="2000" w:type="dxa"/>
            <w:shd w:val="clear" w:color="auto" w:fill="auto"/>
          </w:tcPr>
          <w:p w:rsidR="008566FF" w:rsidRPr="00260D5D" w:rsidRDefault="008566FF" w:rsidP="00904C31">
            <w:pPr>
              <w:pStyle w:val="Identificao"/>
            </w:pPr>
            <w:r w:rsidRPr="00260D5D">
              <w:t>PROCURADOR</w:t>
            </w:r>
          </w:p>
        </w:tc>
        <w:tc>
          <w:tcPr>
            <w:tcW w:w="300" w:type="dxa"/>
            <w:shd w:val="clear" w:color="auto" w:fill="auto"/>
          </w:tcPr>
          <w:p w:rsidR="008566FF" w:rsidRPr="00260D5D" w:rsidRDefault="008566FF" w:rsidP="00904C31">
            <w:pPr>
              <w:pStyle w:val="Identificao"/>
            </w:pPr>
            <w:r w:rsidRPr="00260D5D">
              <w:t>:</w:t>
            </w:r>
          </w:p>
        </w:tc>
        <w:tc>
          <w:tcPr>
            <w:tcW w:w="7600" w:type="dxa"/>
            <w:shd w:val="clear" w:color="auto" w:fill="auto"/>
          </w:tcPr>
          <w:p w:rsidR="008566FF" w:rsidRPr="00260D5D" w:rsidRDefault="008566FF" w:rsidP="00904C31">
            <w:pPr>
              <w:pStyle w:val="Identificao"/>
            </w:pPr>
            <w:r w:rsidRPr="00260D5D">
              <w:t xml:space="preserve">IONE MISSAE DA SILVA </w:t>
            </w:r>
          </w:p>
        </w:tc>
      </w:tr>
    </w:tbl>
    <w:p w:rsidR="008566FF" w:rsidRPr="00260D5D" w:rsidRDefault="008566FF" w:rsidP="008566FF">
      <w:pPr>
        <w:pStyle w:val="centralizar"/>
        <w:rPr>
          <w:sz w:val="26"/>
          <w:szCs w:val="26"/>
        </w:rPr>
      </w:pPr>
      <w:r w:rsidRPr="00260D5D">
        <w:rPr>
          <w:sz w:val="26"/>
          <w:szCs w:val="26"/>
        </w:rPr>
        <w:t>EMENTA</w:t>
      </w:r>
    </w:p>
    <w:p w:rsidR="008566FF" w:rsidRDefault="008566FF" w:rsidP="008566FF">
      <w:pPr>
        <w:pStyle w:val="Identificao"/>
        <w:spacing w:line="360" w:lineRule="auto"/>
        <w:rPr>
          <w:sz w:val="26"/>
          <w:szCs w:val="26"/>
        </w:rPr>
      </w:pPr>
      <w:r w:rsidRPr="00775D1A">
        <w:rPr>
          <w:sz w:val="26"/>
          <w:szCs w:val="26"/>
        </w:rPr>
        <w:t xml:space="preserve">CONSTITUCIONAL, ADMINISTRATIVO, AMBIENTAL E PROCESSUAL CIVIL. AÇÃO CIVIL PÚBLICA. </w:t>
      </w:r>
      <w:r>
        <w:rPr>
          <w:sz w:val="26"/>
          <w:szCs w:val="26"/>
        </w:rPr>
        <w:t>INSTALAÇÃO DE TERMINAL PORTUÁRIO ÀS MARGENS DO RIO AMAZONAS, NO MUNICÍPIO DE SANTARÉM/PA. ÁREA DE INFLUÊNCIA DIRETA EM COMUNIDADES QUILOMBOLAS E DEMAIS POPULAÇÕES TRADICIONAIS. LICENCIAMENTO AMBIENTAL. AUSÊNCIA DE CONSULTA PRÉVIA (CONVENÇÃO Nº 169 DA ORGANIZAÇÃO INTERNACIONAL DO TRABALHO). TUTELA INIBITÓRIA NA LINHA DE EFICÁCIA PLENA DOS PRINCÍPIOS DA PRECAUÇÃO, DO POLUIDOR PAGADOR, DA RESPONSABILIDADE SOCIAL, DA PROIBIÇÃO DO RETROCESSO ECOLÓGICO E DO DESENVOLVIMENTO SUSTENTÁVEL.</w:t>
      </w:r>
    </w:p>
    <w:p w:rsidR="008566FF" w:rsidRDefault="008566FF" w:rsidP="008566FF">
      <w:pPr>
        <w:pStyle w:val="Identificao"/>
        <w:spacing w:line="360" w:lineRule="auto"/>
        <w:rPr>
          <w:sz w:val="26"/>
          <w:szCs w:val="26"/>
        </w:rPr>
      </w:pPr>
      <w:r>
        <w:rPr>
          <w:sz w:val="26"/>
          <w:szCs w:val="26"/>
        </w:rPr>
        <w:t xml:space="preserve">I – A instalação de terminal portuário </w:t>
      </w:r>
      <w:r w:rsidRPr="00775D1A">
        <w:rPr>
          <w:sz w:val="26"/>
          <w:szCs w:val="26"/>
        </w:rPr>
        <w:t>encra</w:t>
      </w:r>
      <w:r>
        <w:rPr>
          <w:sz w:val="26"/>
          <w:szCs w:val="26"/>
        </w:rPr>
        <w:t xml:space="preserve">vado no seio da Amazônia Legal, </w:t>
      </w:r>
      <w:r w:rsidRPr="00775D1A">
        <w:rPr>
          <w:sz w:val="26"/>
          <w:szCs w:val="26"/>
        </w:rPr>
        <w:t xml:space="preserve">com reflexos diretos não só </w:t>
      </w:r>
      <w:r>
        <w:rPr>
          <w:sz w:val="26"/>
          <w:szCs w:val="26"/>
        </w:rPr>
        <w:t>n</w:t>
      </w:r>
      <w:r w:rsidRPr="00775D1A">
        <w:rPr>
          <w:sz w:val="26"/>
          <w:szCs w:val="26"/>
        </w:rPr>
        <w:t xml:space="preserve">os ecossistemas ali existentes, mas, também, </w:t>
      </w:r>
      <w:r>
        <w:rPr>
          <w:sz w:val="26"/>
          <w:szCs w:val="26"/>
        </w:rPr>
        <w:t>e em comunidades quilombolas e demais populares tradicionais ribeirinhas, demonstra a natureza</w:t>
      </w:r>
      <w:r w:rsidRPr="00775D1A">
        <w:rPr>
          <w:sz w:val="26"/>
          <w:szCs w:val="26"/>
        </w:rPr>
        <w:t xml:space="preserve"> de repercussão geral da controvérsia instaurada neste feito judicial, que, por sua natureza ontológica, é de caráter difuso-ambiental, a sobrepor-se a qualquer outro interesse de cunho político ou econômico, como no caso, ante o fenômeno da transcendência das questões discutidas no processo judicial, porque diretamente vinculadas à tradicional teoria da gravidade institucional, na visão da Corte Suprema da Argentina, já recepcionada pela doutrina, pela legislação processual (CPC</w:t>
      </w:r>
      <w:r>
        <w:rPr>
          <w:sz w:val="26"/>
          <w:szCs w:val="26"/>
        </w:rPr>
        <w:t>/1973</w:t>
      </w:r>
      <w:r w:rsidRPr="00775D1A">
        <w:rPr>
          <w:sz w:val="26"/>
          <w:szCs w:val="26"/>
        </w:rPr>
        <w:t xml:space="preserve">, arts. 543-A, § 1º, e 543-C, </w:t>
      </w:r>
      <w:r w:rsidRPr="00775D1A">
        <w:rPr>
          <w:b/>
          <w:i/>
          <w:sz w:val="26"/>
          <w:szCs w:val="26"/>
        </w:rPr>
        <w:t>caput</w:t>
      </w:r>
      <w:r w:rsidRPr="00775D1A">
        <w:rPr>
          <w:sz w:val="26"/>
          <w:szCs w:val="26"/>
        </w:rPr>
        <w:t xml:space="preserve">) e pela jurisprudência dos Tribunais do Brasil, na compreensão racional de que tais questões excedem ao mero interesse individual das partes e afetam de modo direto o da comunidade em </w:t>
      </w:r>
      <w:r w:rsidRPr="00775D1A">
        <w:rPr>
          <w:sz w:val="26"/>
          <w:szCs w:val="26"/>
        </w:rPr>
        <w:lastRenderedPageBreak/>
        <w:t xml:space="preserve">geral, a desatrelar-se dos marcos regulatórios da congruência processual, na espécie.  </w:t>
      </w:r>
    </w:p>
    <w:p w:rsidR="008566FF" w:rsidRDefault="008566FF" w:rsidP="008566FF">
      <w:pPr>
        <w:pStyle w:val="Identificao"/>
        <w:spacing w:line="360" w:lineRule="auto"/>
        <w:rPr>
          <w:sz w:val="26"/>
          <w:szCs w:val="26"/>
        </w:rPr>
      </w:pPr>
      <w:r>
        <w:rPr>
          <w:sz w:val="26"/>
          <w:szCs w:val="26"/>
        </w:rPr>
        <w:t xml:space="preserve">II – </w:t>
      </w:r>
      <w:r w:rsidRPr="00775D1A">
        <w:rPr>
          <w:sz w:val="26"/>
          <w:szCs w:val="26"/>
        </w:rPr>
        <w:t xml:space="preserve">A Convenção Internacional 169/OIT, que dispõe sobre os povos indígenas e tribais, aprovada pelo Decreto 5.051, de 19 de abril de 2004, assim estabelece: "Artigo. 3º 1. Os povos indígenas e tribais deverão gozar plenamente dos direitos humanos e liberdades fundamentais, sem obstáculos nem discriminação. As disposições desta Convenção serão aplicadas sem discriminação aos homens e mulheres desses povos. 2. Não deverá ser empregada nenhuma forma de força ou de coerção que viole os direitos humanos e as liberdades fundamentais dos povos interessados, inclusive os direitos contidos na presente convenção; Artigo 4º 1. Deverão ser adotadas as medidas especiais que sejam necessárias para salvaguardar as pessoas, as instituições, os bens, as culturas e o meio ambiente dos povos interessados. 2. Tais medidas especiais não deverão ser contrárias aos desejos expressos livremente pelos povos interessados; Art. 6º Ao aplicar as disposições da presente Convenção, os governos deverão: a) consultar os povos interessados, mediante procedimentos apropriados e, particularmente, através de suas instituições representativas, cada vez que sejam previstas medidas legislativas ou administrativas suscetíveis de afetá-los diretamente; b) estabelecer os meios através dos quais os povos interessados possam participar livremente, pelo menos na mesma medida que outros setores da população e em todos os níveis, na adoção de decisões em instituições efetivas ou organismos administrativos e de outra natureza responsáveis pelas políticas e programas que lhes sejam concernentes; c) estabelecer os meios para o pleno desenvolvimento das instituições e iniciativas dos povos e, nos casos apropriados, fornecer os recursos necessários para esse fim; Artigo 7º 1. Os povos interessados deverão ter o direito de escolher suas, próprias prioridades no que diz respeito ao processo de desenvolvimento, na medida em que ele afete as suas vidas, crenças, instituições e bem-estar espiritual, bem como as terras que ocupam ou utilizam de alguma forma, e de controlar, na medida do possível, o seu próprio desenvolvimento econômico, social e cultural. Além disso, esses povos deverão participar da formulação, aplicação e avaliação dos planos e programas de desenvolvimento nacional e regional suscetíveis de afetá-los diretamente. 2. A melhoria das condições de vida e de trabalho e do nível de saúde e educação dos povos </w:t>
      </w:r>
      <w:r w:rsidRPr="00775D1A">
        <w:rPr>
          <w:sz w:val="26"/>
          <w:szCs w:val="26"/>
        </w:rPr>
        <w:lastRenderedPageBreak/>
        <w:t xml:space="preserve">interessados, com a sua participação e cooperação, deverá ser prioritária nos planos de desenvolvimento econômico global das regiões onde eles moram. Os projetos especiais de desenvolvimento para essas regiões também deverão ser elaborados de forma a promoverem essa melhoria.4. Os governos deverão adotar medidas em cooperação com os povos interessados para proteger e preservar o meio ambiente dos territórios que eles habitam. Artigo 13 1. Ao aplicarem as disposições desta parte da Convenção, os governos deverão respeitar a importância especial que para as culturas e valores espirituais dos povos interessados possui a sua relação com as terras ou territórios, ou com ambos, segundo os casos, que eles ocupam ou utilizam de alguma maneira e, particularmente, os aspectos coletivos dessa relação; Artigo 14 1. Dever-se-á reconhecer aos povos interessados os direitos de propriedade e de posse sobre as terras que tradicionalmente ocupam. Além disso, nos casos apropriados, deverão ser adotadas medidas para salvaguardar o direito dos povos interessados de utilizar terras que não estejam exclusivamente ocupadas por eles, mas às quais, tradicionalmente, tenham tido acesso para suas atividades tradicionais e de subsistência. Nesse particular, deverá ser dada especial atenção à situação dos povos nômades e dos agricultores itinerantes; Artigo 15 1. Os direitos dos povos interessados aos recursos naturais existentes nas suas terras deverão ser especialmente protegidos. Esses direitos abrangem o direito desses povos a participarem da utilização, administração e conservação dos recursos mencionados. 2. Em caso de pertencer ao Estado a propriedade dos minérios ou dos recursos do subsolo, ou de ter direitos sobre outros recursos, existentes nas terras, os governos deverão estabelecer ou manter procedimentos com vistas a consultar os povos interessados, a fim de se determinar se os interesses desses povos seriam prejudicados, e em que medida, antes de se empreender ou autorizar qualquer programa de prospecção ou exploração dos recursos existentes nas suas terras. Os povos interessados deverão participar sempre que for possível dos benefícios que essas atividades produzam, e receber indenização equitativa por qualquer dano que possam sofrer como resultado dessas atividades".  </w:t>
      </w:r>
    </w:p>
    <w:p w:rsidR="008566FF" w:rsidRDefault="008566FF" w:rsidP="008566FF">
      <w:pPr>
        <w:pStyle w:val="Identificao"/>
        <w:spacing w:line="360" w:lineRule="auto"/>
        <w:rPr>
          <w:sz w:val="26"/>
          <w:szCs w:val="26"/>
        </w:rPr>
      </w:pPr>
      <w:r>
        <w:rPr>
          <w:sz w:val="26"/>
          <w:szCs w:val="26"/>
        </w:rPr>
        <w:t>III – Na hipótese dos autos, em se tratando de instalação de terminal portuário</w:t>
      </w:r>
      <w:r w:rsidRPr="00775D1A">
        <w:rPr>
          <w:sz w:val="26"/>
          <w:szCs w:val="26"/>
        </w:rPr>
        <w:t xml:space="preserve"> </w:t>
      </w:r>
      <w:r>
        <w:rPr>
          <w:sz w:val="26"/>
          <w:szCs w:val="26"/>
        </w:rPr>
        <w:t xml:space="preserve">às margens do Rio Amazonas, no Município de Santarém/PA, cujo licenciamento, além de não  ter sido submetido ao crivo do Instituto Brasileiro do Meio Ambiente e </w:t>
      </w:r>
      <w:r>
        <w:rPr>
          <w:sz w:val="26"/>
          <w:szCs w:val="26"/>
        </w:rPr>
        <w:lastRenderedPageBreak/>
        <w:t>dos Recursos Naturais Renováveis – IBAMA, na condição de órgão executor da política nacional do meio ambiente, também não fora precedido de regular consulta prévia aos povos remanescentes das comunidades quilombolas e às demais populações tradicionais de ribeirinhos, diretamente afetadas, caracteriza, em princípio, a manifesta irregularidade do empreendimento, a autorizar a suspensão do aludido licenciamento, de forma a evitar danos irreversíveis ou de difícil ou incerta reparação, como no caso.</w:t>
      </w:r>
    </w:p>
    <w:p w:rsidR="008566FF" w:rsidRPr="003326E2" w:rsidRDefault="008566FF" w:rsidP="008566FF">
      <w:pPr>
        <w:pStyle w:val="Pargrafo"/>
        <w:spacing w:before="0" w:after="0" w:line="360" w:lineRule="auto"/>
        <w:ind w:firstLine="0"/>
        <w:rPr>
          <w:b/>
          <w:bCs/>
          <w:i/>
          <w:sz w:val="26"/>
          <w:szCs w:val="26"/>
        </w:rPr>
      </w:pPr>
      <w:r>
        <w:rPr>
          <w:sz w:val="26"/>
          <w:szCs w:val="26"/>
        </w:rPr>
        <w:t xml:space="preserve">IV – Ademais, na ótica vigilante da Suprema Corte, </w:t>
      </w:r>
      <w:r w:rsidRPr="003326E2">
        <w:rPr>
          <w:i/>
          <w:sz w:val="26"/>
          <w:szCs w:val="26"/>
        </w:rPr>
        <w:t>“a incolumidade do meio ambiente não pode ser comprometida por interesses empresariais nem ficar dependente de motivações de índole meramente econômica, ainda mais se se tiver presente que a atividade econômica, considerada a disciplina constitucional que a rege, está subordinada, dentre outros princípios gerais, àquele que privilegia a "</w:t>
      </w:r>
      <w:r w:rsidRPr="003326E2">
        <w:rPr>
          <w:b/>
          <w:bCs/>
          <w:i/>
          <w:sz w:val="26"/>
          <w:szCs w:val="26"/>
        </w:rPr>
        <w:t>defesa do meio ambiente</w:t>
      </w:r>
      <w:r w:rsidRPr="003326E2">
        <w:rPr>
          <w:i/>
          <w:sz w:val="26"/>
          <w:szCs w:val="26"/>
        </w:rPr>
        <w:t xml:space="preserve">" (CF, art. 170, VI), que traduz conceito amplo e abrangente das noções de meio ambiente natural, de meio ambiente cultural, de meio ambiente artificial (espaço urbano) e de meio ambiente laboral (...) O </w:t>
      </w:r>
      <w:r w:rsidRPr="003326E2">
        <w:rPr>
          <w:b/>
          <w:bCs/>
          <w:i/>
          <w:sz w:val="26"/>
          <w:szCs w:val="26"/>
        </w:rPr>
        <w:t>princípio do desenvolvimento sustentável</w:t>
      </w:r>
      <w:r w:rsidRPr="003326E2">
        <w:rPr>
          <w:i/>
          <w:sz w:val="26"/>
          <w:szCs w:val="26"/>
        </w:rPr>
        <w:t xml:space="preserve">, além de impregnado de caráter eminentemente constitucional, encontra suporte legitimador em compromissos internacionais assumidos pelo Estado brasileiro e representa fator de obtenção do justo equilíbrio entre as exigências da economia e as da ecologia, subordinada, no entanto, a invocação desse postulado, quando ocorrente situação de conflito entre valores constitucionais relevantes, a uma condição inafastável, cuja observância não comprometa nem esvazie o conteúdo essencial de um dos mais significativos direitos fundamentais: </w:t>
      </w:r>
      <w:r w:rsidRPr="003326E2">
        <w:rPr>
          <w:b/>
          <w:bCs/>
          <w:i/>
          <w:sz w:val="26"/>
          <w:szCs w:val="26"/>
        </w:rPr>
        <w:t>o direito à preservação do meio ambiente, que traduz bem de uso comum da generalidade das pessoas, a ser resguardado em favor das presentes e futuras gerações”</w:t>
      </w:r>
      <w:r w:rsidRPr="003326E2">
        <w:rPr>
          <w:i/>
          <w:sz w:val="26"/>
          <w:szCs w:val="26"/>
        </w:rPr>
        <w:t xml:space="preserve"> (ADI-MC nº 3540/DF – Rel. Min. Celso de Mello – DJU de 03/02/2006).</w:t>
      </w:r>
      <w:r>
        <w:rPr>
          <w:sz w:val="26"/>
          <w:szCs w:val="26"/>
        </w:rPr>
        <w:t xml:space="preserve"> Nesta visão de uma sociedade sustentável e global, baseada no respeito pela natureza, nos direitos humanos universais, na justiça econômica e numa cultura de paz, com responsabilidades pela grande comunidade da vida, numa perspectiva intergeneracional, promulgou-se a </w:t>
      </w:r>
      <w:r>
        <w:rPr>
          <w:b/>
          <w:bCs/>
          <w:sz w:val="26"/>
          <w:szCs w:val="26"/>
        </w:rPr>
        <w:t xml:space="preserve">Carta Ambiental da França </w:t>
      </w:r>
      <w:r>
        <w:rPr>
          <w:sz w:val="26"/>
          <w:szCs w:val="26"/>
        </w:rPr>
        <w:t xml:space="preserve">(02.03.2005), estabelecendo que </w:t>
      </w:r>
      <w:r w:rsidRPr="003326E2">
        <w:rPr>
          <w:i/>
          <w:sz w:val="26"/>
          <w:szCs w:val="26"/>
        </w:rPr>
        <w:t xml:space="preserve">“o futuro e a própria existência da humanidade são indissociáveis de seu meio natural e, por isso, </w:t>
      </w:r>
      <w:r w:rsidRPr="003326E2">
        <w:rPr>
          <w:b/>
          <w:bCs/>
          <w:i/>
          <w:sz w:val="26"/>
          <w:szCs w:val="26"/>
        </w:rPr>
        <w:t>o meio ambiente é considerado um patrimônio comum dos seres humanos</w:t>
      </w:r>
      <w:r w:rsidRPr="003326E2">
        <w:rPr>
          <w:i/>
          <w:sz w:val="26"/>
          <w:szCs w:val="26"/>
        </w:rPr>
        <w:t xml:space="preserve">, devendo sua preservação ser buscada, sob o mesmo título que os demais </w:t>
      </w:r>
      <w:r w:rsidRPr="003326E2">
        <w:rPr>
          <w:i/>
          <w:sz w:val="26"/>
          <w:szCs w:val="26"/>
        </w:rPr>
        <w:lastRenderedPageBreak/>
        <w:t xml:space="preserve">interesses fundamentais da nação, pois a diversidade biológica, o desenvolvimento da pessoa humana e o progresso das sociedades estão sendo afetados por certas modalidades de produção e consumo e pela exploração excessiva dos recursos naturais, </w:t>
      </w:r>
      <w:r w:rsidRPr="003326E2">
        <w:rPr>
          <w:b/>
          <w:bCs/>
          <w:i/>
          <w:sz w:val="26"/>
          <w:szCs w:val="26"/>
        </w:rPr>
        <w:t>a se exigir das autoridades públicas a aplicação do princípio da precaução nos limites de suas atribuições, em busca de um desenvolvimento durável.</w:t>
      </w:r>
      <w:r>
        <w:rPr>
          <w:b/>
          <w:bCs/>
          <w:i/>
          <w:sz w:val="26"/>
          <w:szCs w:val="26"/>
        </w:rPr>
        <w:t>”</w:t>
      </w:r>
    </w:p>
    <w:p w:rsidR="008566FF" w:rsidRDefault="008566FF" w:rsidP="008566FF">
      <w:pPr>
        <w:pStyle w:val="Identificao"/>
        <w:spacing w:line="360" w:lineRule="auto"/>
        <w:rPr>
          <w:sz w:val="26"/>
          <w:szCs w:val="26"/>
        </w:rPr>
      </w:pPr>
      <w:r>
        <w:rPr>
          <w:sz w:val="26"/>
          <w:szCs w:val="26"/>
        </w:rPr>
        <w:t>V – Agravo de instrumento desprovido. Decisão mantida.</w:t>
      </w:r>
    </w:p>
    <w:p w:rsidR="008566FF" w:rsidRDefault="008566FF" w:rsidP="008566FF">
      <w:pPr>
        <w:pStyle w:val="assinatura"/>
      </w:pPr>
      <w:r>
        <w:t>ACÓRDÃO</w:t>
      </w:r>
    </w:p>
    <w:p w:rsidR="008566FF" w:rsidRDefault="008566FF" w:rsidP="008566FF">
      <w:pPr>
        <w:pStyle w:val="Identificao"/>
        <w:spacing w:line="360" w:lineRule="auto"/>
        <w:ind w:firstLine="1440"/>
        <w:rPr>
          <w:sz w:val="26"/>
        </w:rPr>
      </w:pPr>
      <w:r>
        <w:rPr>
          <w:sz w:val="26"/>
        </w:rPr>
        <w:t>Decide a Turma, por unanimidade, negar provimento ao agravo de instrumento, nos termos do voto do Relator.</w:t>
      </w:r>
    </w:p>
    <w:p w:rsidR="008566FF" w:rsidRDefault="008566FF" w:rsidP="008566FF">
      <w:pPr>
        <w:pStyle w:val="Identificao"/>
        <w:spacing w:line="360" w:lineRule="auto"/>
        <w:ind w:firstLine="1440"/>
        <w:rPr>
          <w:sz w:val="26"/>
        </w:rPr>
      </w:pPr>
      <w:r>
        <w:rPr>
          <w:sz w:val="26"/>
        </w:rPr>
        <w:t>Quinta Turma do Tribunal Regional Federal - 1ª Região – Em 02/05/2018.</w:t>
      </w:r>
    </w:p>
    <w:p w:rsidR="008566FF" w:rsidRDefault="008566FF" w:rsidP="008566FF">
      <w:pPr>
        <w:pStyle w:val="assinatura"/>
      </w:pPr>
      <w:r>
        <w:t>Desembargador Federal SOUZA PRUDENTE</w:t>
      </w:r>
    </w:p>
    <w:p w:rsidR="008566FF" w:rsidRDefault="008566FF" w:rsidP="008566FF">
      <w:pPr>
        <w:pStyle w:val="assinatura"/>
      </w:pPr>
      <w:r>
        <w:t>Relator</w:t>
      </w:r>
    </w:p>
    <w:p w:rsidR="008566FF" w:rsidRPr="00775D1A" w:rsidRDefault="008566FF" w:rsidP="008566FF">
      <w:pPr>
        <w:pStyle w:val="Identificao"/>
      </w:pPr>
    </w:p>
    <w:p w:rsidR="008566FF" w:rsidRPr="004554A7" w:rsidRDefault="008566FF" w:rsidP="008566FF">
      <w:pPr>
        <w:pStyle w:val="Identificao"/>
      </w:pPr>
    </w:p>
    <w:p w:rsidR="008566FF" w:rsidRPr="00260D5D" w:rsidRDefault="008566FF" w:rsidP="008566FF">
      <w:pPr>
        <w:pStyle w:val="Identificao"/>
      </w:pPr>
    </w:p>
    <w:p w:rsidR="0015179D" w:rsidRPr="004554A7" w:rsidRDefault="0015179D" w:rsidP="00E850E4">
      <w:pPr>
        <w:pStyle w:val="Identificao"/>
      </w:pPr>
    </w:p>
    <w:sectPr w:rsidR="0015179D" w:rsidRPr="004554A7" w:rsidSect="004554A7">
      <w:headerReference w:type="default" r:id="rId7"/>
      <w:footerReference w:type="default" r:id="rId8"/>
      <w:headerReference w:type="first" r:id="rId9"/>
      <w:footerReference w:type="first" r:id="rId10"/>
      <w:pgSz w:w="11907" w:h="16840" w:code="9"/>
      <w:pgMar w:top="850" w:right="850" w:bottom="850" w:left="141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66FF" w:rsidRDefault="008566FF">
      <w:r>
        <w:separator/>
      </w:r>
    </w:p>
  </w:endnote>
  <w:endnote w:type="continuationSeparator" w:id="0">
    <w:p w:rsidR="008566FF" w:rsidRDefault="008566F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pPr>
    <w:r>
      <w:rPr>
        <w:rFonts w:ascii="Arial" w:hAnsi="Arial"/>
        <w:sz w:val="10"/>
      </w:rPr>
      <w:t>TRF 1ª REGIÃO/IMP.15-02-05</w:t>
    </w:r>
    <w:r>
      <w:rPr>
        <w:rFonts w:ascii="Arial" w:hAnsi="Arial"/>
        <w:sz w:val="10"/>
      </w:rPr>
      <w:tab/>
    </w:r>
    <w:r>
      <w:rPr>
        <w:rFonts w:ascii="Arial" w:hAnsi="Arial"/>
        <w:sz w:val="10"/>
      </w:rPr>
      <w:fldChar w:fldCharType="begin"/>
    </w:r>
    <w:r>
      <w:rPr>
        <w:rFonts w:ascii="Arial" w:hAnsi="Arial"/>
        <w:sz w:val="10"/>
      </w:rPr>
      <w:instrText xml:space="preserve"> FILENAME \p </w:instrText>
    </w:r>
    <w:r>
      <w:rPr>
        <w:rFonts w:ascii="Arial" w:hAnsi="Arial"/>
        <w:sz w:val="10"/>
      </w:rPr>
      <w:fldChar w:fldCharType="separate"/>
    </w:r>
    <w:r w:rsidR="008566FF">
      <w:rPr>
        <w:rFonts w:ascii="Arial" w:hAnsi="Arial"/>
        <w:noProof/>
        <w:sz w:val="10"/>
      </w:rPr>
      <w:t>Documento2</w:t>
    </w:r>
    <w:r>
      <w:rPr>
        <w:rFonts w:ascii="Arial" w:hAnsi="Arial"/>
        <w:sz w:val="1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rPr>
        <w:rFonts w:ascii="Arial" w:hAnsi="Arial"/>
        <w:sz w:val="13"/>
      </w:rPr>
    </w:pPr>
    <w:r>
      <w:rPr>
        <w:rFonts w:ascii="Arial" w:hAnsi="Arial"/>
        <w:sz w:val="10"/>
      </w:rPr>
      <w:t>TRF 1ª REGIÃO/IMP.15-02-05</w:t>
    </w:r>
    <w:r>
      <w:rPr>
        <w:rFonts w:ascii="Arial" w:hAnsi="Arial"/>
        <w:sz w:val="10"/>
      </w:rPr>
      <w:tab/>
    </w:r>
    <w:r>
      <w:rPr>
        <w:rFonts w:ascii="Arial" w:hAnsi="Arial"/>
        <w:sz w:val="13"/>
      </w:rPr>
      <w:fldChar w:fldCharType="begin"/>
    </w:r>
    <w:r>
      <w:rPr>
        <w:rFonts w:ascii="Arial" w:hAnsi="Arial"/>
        <w:sz w:val="13"/>
      </w:rPr>
      <w:instrText xml:space="preserve"> FILENAME \p </w:instrText>
    </w:r>
    <w:r>
      <w:rPr>
        <w:rFonts w:ascii="Arial" w:hAnsi="Arial"/>
        <w:sz w:val="13"/>
      </w:rPr>
      <w:fldChar w:fldCharType="separate"/>
    </w:r>
    <w:r w:rsidR="008566FF">
      <w:rPr>
        <w:rFonts w:ascii="Arial" w:hAnsi="Arial"/>
        <w:noProof/>
        <w:sz w:val="13"/>
      </w:rPr>
      <w:t>Documento2</w:t>
    </w:r>
    <w:r>
      <w:rPr>
        <w:rFonts w:ascii="Arial" w:hAnsi="Arial"/>
        <w:sz w:val="13"/>
      </w:rPr>
      <w:fldChar w:fldCharType="end"/>
    </w:r>
  </w:p>
  <w:p w:rsidR="00413610" w:rsidRDefault="00413610">
    <w:pPr>
      <w:tabs>
        <w:tab w:val="right" w:pos="9360"/>
      </w:tabs>
      <w:rPr>
        <w:sz w:val="13"/>
      </w:rPr>
    </w:pPr>
    <w:r>
      <w:rPr>
        <w:rFonts w:ascii="Arial" w:hAnsi="Arial"/>
        <w:sz w:val="13"/>
      </w:rPr>
      <w:t xml:space="preserve">Criado por </w:t>
    </w:r>
    <w:r>
      <w:rPr>
        <w:rFonts w:ascii="Arial" w:hAnsi="Arial"/>
        <w:sz w:val="13"/>
      </w:rPr>
      <w:fldChar w:fldCharType="begin"/>
    </w:r>
    <w:r>
      <w:rPr>
        <w:rFonts w:ascii="Arial" w:hAnsi="Arial"/>
        <w:sz w:val="13"/>
      </w:rPr>
      <w:instrText xml:space="preserve"> AUTHOR </w:instrText>
    </w:r>
    <w:r>
      <w:rPr>
        <w:rFonts w:ascii="Arial" w:hAnsi="Arial"/>
        <w:sz w:val="13"/>
      </w:rPr>
      <w:fldChar w:fldCharType="separate"/>
    </w:r>
    <w:r w:rsidR="008566FF">
      <w:rPr>
        <w:rFonts w:ascii="Arial" w:hAnsi="Arial"/>
        <w:noProof/>
        <w:sz w:val="13"/>
      </w:rPr>
      <w:t>tr18164ps</w:t>
    </w:r>
    <w:r>
      <w:rPr>
        <w:rFonts w:ascii="Arial" w:hAnsi="Arial"/>
        <w:sz w:val="1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66FF" w:rsidRDefault="008566FF">
      <w:r>
        <w:separator/>
      </w:r>
    </w:p>
  </w:footnote>
  <w:footnote w:type="continuationSeparator" w:id="0">
    <w:p w:rsidR="008566FF" w:rsidRDefault="008566F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spacing w:before="120"/>
      <w:rPr>
        <w:rFonts w:ascii="Arial" w:hAnsi="Arial"/>
        <w:sz w:val="16"/>
      </w:rPr>
    </w:pPr>
    <w:r>
      <w:rPr>
        <w:rFonts w:ascii="Arial" w:hAnsi="Arial"/>
        <w:sz w:val="16"/>
      </w:rPr>
      <w:t>PODER JUDICIÁRIO</w:t>
    </w:r>
  </w:p>
  <w:p w:rsidR="00413610" w:rsidRDefault="00413610">
    <w:pPr>
      <w:tabs>
        <w:tab w:val="right" w:pos="9540"/>
      </w:tabs>
      <w:spacing w:after="120"/>
      <w:rPr>
        <w:rFonts w:ascii="Arial" w:hAnsi="Arial" w:cs="Arial"/>
        <w:bCs/>
        <w:sz w:val="16"/>
      </w:rPr>
    </w:pPr>
    <w:r>
      <w:rPr>
        <w:rFonts w:ascii="Arial" w:hAnsi="Arial"/>
        <w:b/>
        <w:sz w:val="20"/>
      </w:rPr>
      <w:t>TRIBUNAL REGIONAL FEDERAL DA PRIMEIRA REGIÃO</w:t>
    </w:r>
    <w:r>
      <w:rPr>
        <w:rFonts w:ascii="Arial" w:hAnsi="Arial"/>
        <w:b/>
        <w:sz w:val="20"/>
      </w:rPr>
      <w:tab/>
    </w:r>
    <w:r>
      <w:rPr>
        <w:rFonts w:ascii="Arial" w:hAnsi="Arial" w:cs="Arial"/>
        <w:bCs/>
        <w:sz w:val="16"/>
      </w:rPr>
      <w:t>fls.</w:t>
    </w:r>
    <w:r>
      <w:rPr>
        <w:rFonts w:ascii="Arial" w:hAnsi="Arial" w:cs="Arial"/>
        <w:bCs/>
        <w:sz w:val="16"/>
      </w:rPr>
      <w:fldChar w:fldCharType="begin"/>
    </w:r>
    <w:r>
      <w:rPr>
        <w:rFonts w:ascii="Arial" w:hAnsi="Arial" w:cs="Arial"/>
        <w:bCs/>
        <w:sz w:val="16"/>
      </w:rPr>
      <w:instrText xml:space="preserve"> PAGE </w:instrText>
    </w:r>
    <w:r>
      <w:rPr>
        <w:rFonts w:ascii="Arial" w:hAnsi="Arial" w:cs="Arial"/>
        <w:bCs/>
        <w:sz w:val="16"/>
      </w:rPr>
      <w:fldChar w:fldCharType="separate"/>
    </w:r>
    <w:r w:rsidR="008566FF">
      <w:rPr>
        <w:rFonts w:ascii="Arial" w:hAnsi="Arial" w:cs="Arial"/>
        <w:bCs/>
        <w:noProof/>
        <w:sz w:val="16"/>
      </w:rPr>
      <w:t>2</w:t>
    </w:r>
    <w:r>
      <w:rPr>
        <w:rFonts w:ascii="Arial" w:hAnsi="Arial" w:cs="Arial"/>
        <w:bCs/>
        <w:sz w:val="16"/>
      </w:rPr>
      <w:fldChar w:fldCharType="end"/>
    </w:r>
    <w:r>
      <w:rPr>
        <w:rFonts w:ascii="Arial" w:hAnsi="Arial" w:cs="Arial"/>
        <w:bCs/>
        <w:sz w:val="16"/>
      </w:rPr>
      <w:t>/</w:t>
    </w:r>
    <w:r>
      <w:rPr>
        <w:rFonts w:ascii="Arial" w:hAnsi="Arial" w:cs="Arial"/>
        <w:bCs/>
        <w:sz w:val="16"/>
      </w:rPr>
      <w:fldChar w:fldCharType="begin"/>
    </w:r>
    <w:r>
      <w:rPr>
        <w:rFonts w:ascii="Arial" w:hAnsi="Arial" w:cs="Arial"/>
        <w:bCs/>
        <w:sz w:val="16"/>
      </w:rPr>
      <w:instrText xml:space="preserve"> NUMPAGES </w:instrText>
    </w:r>
    <w:r>
      <w:rPr>
        <w:rFonts w:ascii="Arial" w:hAnsi="Arial" w:cs="Arial"/>
        <w:bCs/>
        <w:sz w:val="16"/>
      </w:rPr>
      <w:fldChar w:fldCharType="separate"/>
    </w:r>
    <w:r w:rsidR="008566FF">
      <w:rPr>
        <w:rFonts w:ascii="Arial" w:hAnsi="Arial" w:cs="Arial"/>
        <w:bCs/>
        <w:noProof/>
        <w:sz w:val="16"/>
      </w:rPr>
      <w:t>5</w:t>
    </w:r>
    <w:r>
      <w:rPr>
        <w:rFonts w:ascii="Arial" w:hAnsi="Arial" w:cs="Arial"/>
        <w:bCs/>
        <w:sz w:val="16"/>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4A7" w:rsidRDefault="004554A7" w:rsidP="004554A7">
    <w:pPr>
      <w:spacing w:before="120"/>
      <w:jc w:val="center"/>
      <w:rPr>
        <w:rFonts w:ascii="Arial" w:hAnsi="Arial"/>
        <w:sz w:val="16"/>
      </w:rPr>
    </w:pPr>
    <w:r w:rsidRPr="004554A7">
      <w:rPr>
        <w:rFonts w:ascii="Arial" w:hAnsi="Arial"/>
        <w:sz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63pt">
          <v:imagedata r:id="rId1" o:title="brasao_doc"/>
        </v:shape>
      </w:pict>
    </w:r>
  </w:p>
  <w:p w:rsidR="00413610" w:rsidRDefault="00413610" w:rsidP="004554A7">
    <w:pPr>
      <w:spacing w:before="120"/>
      <w:jc w:val="center"/>
      <w:rPr>
        <w:rFonts w:ascii="Arial" w:hAnsi="Arial"/>
        <w:sz w:val="16"/>
      </w:rPr>
    </w:pPr>
    <w:r>
      <w:rPr>
        <w:rFonts w:ascii="Arial" w:hAnsi="Arial"/>
        <w:sz w:val="16"/>
      </w:rPr>
      <w:t>PODER JUDICIÁRIO</w:t>
    </w:r>
  </w:p>
  <w:p w:rsidR="00413610" w:rsidRDefault="00413610" w:rsidP="004554A7">
    <w:pPr>
      <w:jc w:val="center"/>
    </w:pPr>
    <w:r>
      <w:rPr>
        <w:rFonts w:ascii="Arial" w:hAnsi="Arial"/>
        <w:b/>
        <w:sz w:val="20"/>
      </w:rPr>
      <w:t>TRIBUNAL REGIONAL FEDERAL DA PRIMEIRA REGIÃO</w:t>
    </w:r>
    <w:r>
      <w:rPr>
        <w:rFonts w:ascii="Arial" w:hAnsi="Arial"/>
        <w:b/>
        <w:sz w:val="2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66DAC"/>
    <w:multiLevelType w:val="hybridMultilevel"/>
    <w:tmpl w:val="CAEEAB38"/>
    <w:lvl w:ilvl="0" w:tplc="1CB0F4D0">
      <w:start w:val="1"/>
      <w:numFmt w:val="bullet"/>
      <w:lvlText w:val=""/>
      <w:lvlJc w:val="left"/>
      <w:pPr>
        <w:tabs>
          <w:tab w:val="num" w:pos="927"/>
        </w:tabs>
        <w:ind w:left="927" w:hanging="360"/>
      </w:pPr>
      <w:rPr>
        <w:rFonts w:ascii="Symbol" w:hAnsi="Symbol" w:hint="default"/>
        <w:color w:val="auto"/>
      </w:rPr>
    </w:lvl>
    <w:lvl w:ilvl="1" w:tplc="04160003">
      <w:start w:val="1"/>
      <w:numFmt w:val="bullet"/>
      <w:lvlText w:val="o"/>
      <w:lvlJc w:val="left"/>
      <w:pPr>
        <w:tabs>
          <w:tab w:val="num" w:pos="1440"/>
        </w:tabs>
        <w:ind w:left="1440" w:hanging="360"/>
      </w:pPr>
      <w:rPr>
        <w:rFonts w:ascii="Courier New" w:hAnsi="Courier New" w:hint="default"/>
      </w:rPr>
    </w:lvl>
    <w:lvl w:ilvl="2" w:tplc="024A3448">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nsid w:val="25EB4F8E"/>
    <w:multiLevelType w:val="hybridMultilevel"/>
    <w:tmpl w:val="C3E6D79C"/>
    <w:lvl w:ilvl="0" w:tplc="47D29EBA">
      <w:start w:val="1"/>
      <w:numFmt w:val="lowerLetter"/>
      <w:lvlText w:val="%1)"/>
      <w:lvlJc w:val="left"/>
      <w:pPr>
        <w:tabs>
          <w:tab w:val="num" w:pos="1500"/>
        </w:tabs>
        <w:ind w:left="1500" w:hanging="360"/>
      </w:pPr>
      <w:rPr>
        <w:rFonts w:hint="default"/>
      </w:rPr>
    </w:lvl>
    <w:lvl w:ilvl="1" w:tplc="04160019" w:tentative="1">
      <w:start w:val="1"/>
      <w:numFmt w:val="lowerLetter"/>
      <w:lvlText w:val="%2."/>
      <w:lvlJc w:val="left"/>
      <w:pPr>
        <w:tabs>
          <w:tab w:val="num" w:pos="2220"/>
        </w:tabs>
        <w:ind w:left="2220" w:hanging="360"/>
      </w:pPr>
    </w:lvl>
    <w:lvl w:ilvl="2" w:tplc="0416001B" w:tentative="1">
      <w:start w:val="1"/>
      <w:numFmt w:val="lowerRoman"/>
      <w:lvlText w:val="%3."/>
      <w:lvlJc w:val="right"/>
      <w:pPr>
        <w:tabs>
          <w:tab w:val="num" w:pos="2940"/>
        </w:tabs>
        <w:ind w:left="2940" w:hanging="180"/>
      </w:pPr>
    </w:lvl>
    <w:lvl w:ilvl="3" w:tplc="0416000F" w:tentative="1">
      <w:start w:val="1"/>
      <w:numFmt w:val="decimal"/>
      <w:lvlText w:val="%4."/>
      <w:lvlJc w:val="left"/>
      <w:pPr>
        <w:tabs>
          <w:tab w:val="num" w:pos="3660"/>
        </w:tabs>
        <w:ind w:left="3660" w:hanging="360"/>
      </w:pPr>
    </w:lvl>
    <w:lvl w:ilvl="4" w:tplc="04160019" w:tentative="1">
      <w:start w:val="1"/>
      <w:numFmt w:val="lowerLetter"/>
      <w:lvlText w:val="%5."/>
      <w:lvlJc w:val="left"/>
      <w:pPr>
        <w:tabs>
          <w:tab w:val="num" w:pos="4380"/>
        </w:tabs>
        <w:ind w:left="4380" w:hanging="360"/>
      </w:pPr>
    </w:lvl>
    <w:lvl w:ilvl="5" w:tplc="0416001B" w:tentative="1">
      <w:start w:val="1"/>
      <w:numFmt w:val="lowerRoman"/>
      <w:lvlText w:val="%6."/>
      <w:lvlJc w:val="right"/>
      <w:pPr>
        <w:tabs>
          <w:tab w:val="num" w:pos="5100"/>
        </w:tabs>
        <w:ind w:left="5100" w:hanging="180"/>
      </w:pPr>
    </w:lvl>
    <w:lvl w:ilvl="6" w:tplc="0416000F" w:tentative="1">
      <w:start w:val="1"/>
      <w:numFmt w:val="decimal"/>
      <w:lvlText w:val="%7."/>
      <w:lvlJc w:val="left"/>
      <w:pPr>
        <w:tabs>
          <w:tab w:val="num" w:pos="5820"/>
        </w:tabs>
        <w:ind w:left="5820" w:hanging="360"/>
      </w:pPr>
    </w:lvl>
    <w:lvl w:ilvl="7" w:tplc="04160019" w:tentative="1">
      <w:start w:val="1"/>
      <w:numFmt w:val="lowerLetter"/>
      <w:lvlText w:val="%8."/>
      <w:lvlJc w:val="left"/>
      <w:pPr>
        <w:tabs>
          <w:tab w:val="num" w:pos="6540"/>
        </w:tabs>
        <w:ind w:left="6540" w:hanging="360"/>
      </w:pPr>
    </w:lvl>
    <w:lvl w:ilvl="8" w:tplc="0416001B" w:tentative="1">
      <w:start w:val="1"/>
      <w:numFmt w:val="lowerRoman"/>
      <w:lvlText w:val="%9."/>
      <w:lvlJc w:val="right"/>
      <w:pPr>
        <w:tabs>
          <w:tab w:val="num" w:pos="7260"/>
        </w:tabs>
        <w:ind w:left="7260" w:hanging="180"/>
      </w:pPr>
    </w:lvl>
  </w:abstractNum>
  <w:abstractNum w:abstractNumId="2">
    <w:nsid w:val="2A262624"/>
    <w:multiLevelType w:val="multilevel"/>
    <w:tmpl w:val="78EEB8B6"/>
    <w:lvl w:ilvl="0">
      <w:start w:val="1"/>
      <w:numFmt w:val="bullet"/>
      <w:lvlText w:val=""/>
      <w:lvlJc w:val="left"/>
      <w:pPr>
        <w:tabs>
          <w:tab w:val="num" w:pos="567"/>
        </w:tabs>
        <w:ind w:left="567" w:hanging="397"/>
      </w:pPr>
      <w:rPr>
        <w:rFonts w:ascii="Wingdings" w:hAnsi="Wingdings" w:hint="default"/>
      </w:rPr>
    </w:lvl>
    <w:lvl w:ilvl="1">
      <w:start w:val="1"/>
      <w:numFmt w:val="bullet"/>
      <w:lvlText w:val=""/>
      <w:lvlJc w:val="left"/>
      <w:pPr>
        <w:tabs>
          <w:tab w:val="num" w:pos="1211"/>
        </w:tabs>
        <w:ind w:left="1134" w:hanging="283"/>
      </w:pPr>
      <w:rPr>
        <w:rFonts w:ascii="Wingdings" w:hAnsi="Wingdings" w:hint="default"/>
      </w:rPr>
    </w:lvl>
    <w:lvl w:ilvl="2">
      <w:start w:val="1"/>
      <w:numFmt w:val="bullet"/>
      <w:lvlText w:val=""/>
      <w:lvlJc w:val="left"/>
      <w:pPr>
        <w:tabs>
          <w:tab w:val="num" w:pos="2061"/>
        </w:tabs>
        <w:ind w:left="1928" w:hanging="227"/>
      </w:pPr>
      <w:rPr>
        <w:rFonts w:ascii="Wingdings" w:hAnsi="Wingdings" w:hint="default"/>
      </w:rPr>
    </w:lvl>
    <w:lvl w:ilvl="3">
      <w:start w:val="1"/>
      <w:numFmt w:val="bullet"/>
      <w:lvlText w:val=""/>
      <w:lvlJc w:val="left"/>
      <w:pPr>
        <w:tabs>
          <w:tab w:val="num" w:pos="3195"/>
        </w:tabs>
        <w:ind w:left="3119" w:hanging="284"/>
      </w:pPr>
      <w:rPr>
        <w:rFonts w:ascii="Symbol" w:hAnsi="Symbol" w:hint="default"/>
      </w:rPr>
    </w:lvl>
    <w:lvl w:ilvl="4">
      <w:start w:val="1"/>
      <w:numFmt w:val="bullet"/>
      <w:lvlText w:val=""/>
      <w:lvlJc w:val="left"/>
      <w:pPr>
        <w:tabs>
          <w:tab w:val="num" w:pos="4139"/>
        </w:tabs>
        <w:ind w:left="4139" w:hanging="737"/>
      </w:pPr>
      <w:rPr>
        <w:rFonts w:ascii="Symbol" w:hAnsi="Symbol" w:hint="default"/>
        <w:sz w:val="14"/>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ttachedTemplate r:id="rId1"/>
  <w:stylePaneFormatFilter w:val="1801"/>
  <w:doNotTrackMoves/>
  <w:defaultTabStop w:val="709"/>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 w:val="0015179D"/>
    <w:rsid w:val="00191A8C"/>
    <w:rsid w:val="002331F7"/>
    <w:rsid w:val="00413610"/>
    <w:rsid w:val="004269A8"/>
    <w:rsid w:val="004554A7"/>
    <w:rsid w:val="00462716"/>
    <w:rsid w:val="00471CDF"/>
    <w:rsid w:val="004C17AC"/>
    <w:rsid w:val="005E20DB"/>
    <w:rsid w:val="006779DE"/>
    <w:rsid w:val="006A4ECE"/>
    <w:rsid w:val="007A7066"/>
    <w:rsid w:val="007C3424"/>
    <w:rsid w:val="008566FF"/>
    <w:rsid w:val="008713AE"/>
    <w:rsid w:val="00872397"/>
    <w:rsid w:val="008A3D69"/>
    <w:rsid w:val="008C4395"/>
    <w:rsid w:val="0099169E"/>
    <w:rsid w:val="00C5492A"/>
    <w:rsid w:val="00D221D6"/>
    <w:rsid w:val="00DD0AC9"/>
    <w:rsid w:val="00E850E4"/>
    <w:rsid w:val="00EE6447"/>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66FF"/>
    <w:rPr>
      <w:sz w:val="24"/>
      <w:szCs w:val="24"/>
    </w:rPr>
  </w:style>
  <w:style w:type="character" w:default="1" w:styleId="Fontepargpadro">
    <w:name w:val="Default Paragraph Font"/>
    <w:semiHidden/>
  </w:style>
  <w:style w:type="table" w:default="1" w:styleId="Tabelanormal">
    <w:name w:val="Normal Table"/>
    <w:semiHidden/>
    <w:tblPr>
      <w:tblInd w:w="0" w:type="dxa"/>
      <w:tblCellMar>
        <w:top w:w="0" w:type="dxa"/>
        <w:left w:w="108" w:type="dxa"/>
        <w:bottom w:w="0" w:type="dxa"/>
        <w:right w:w="108" w:type="dxa"/>
      </w:tblCellMar>
    </w:tblPr>
  </w:style>
  <w:style w:type="numbering" w:default="1" w:styleId="Semlista">
    <w:name w:val="No List"/>
    <w:semiHidden/>
  </w:style>
  <w:style w:type="paragraph" w:customStyle="1" w:styleId="Identificao">
    <w:name w:val="Identificação"/>
    <w:basedOn w:val="ementa"/>
    <w:pPr>
      <w:spacing w:before="0" w:after="0"/>
    </w:pPr>
  </w:style>
  <w:style w:type="paragraph" w:customStyle="1" w:styleId="ementa">
    <w:name w:val="ementa"/>
    <w:basedOn w:val="Pargrafo"/>
    <w:rsid w:val="002331F7"/>
    <w:pPr>
      <w:ind w:firstLine="0"/>
    </w:pPr>
  </w:style>
  <w:style w:type="paragraph" w:customStyle="1" w:styleId="Pargrafo">
    <w:name w:val="Parágrafo"/>
    <w:basedOn w:val="Normal"/>
    <w:link w:val="PargrafoChar"/>
    <w:uiPriority w:val="99"/>
    <w:pPr>
      <w:spacing w:before="120" w:after="120"/>
      <w:ind w:firstLine="1418"/>
      <w:jc w:val="both"/>
    </w:pPr>
    <w:rPr>
      <w:rFonts w:ascii="Arial" w:hAnsi="Arial"/>
      <w:sz w:val="22"/>
    </w:rPr>
  </w:style>
  <w:style w:type="paragraph" w:customStyle="1" w:styleId="centralizar">
    <w:name w:val="centralizar"/>
    <w:basedOn w:val="Pargrafo"/>
    <w:next w:val="Pargrafo"/>
    <w:pPr>
      <w:spacing w:before="360" w:after="360"/>
      <w:ind w:firstLine="0"/>
      <w:jc w:val="center"/>
    </w:pPr>
    <w:rPr>
      <w:b/>
    </w:rPr>
  </w:style>
  <w:style w:type="paragraph" w:customStyle="1" w:styleId="Transcrio">
    <w:name w:val="Transcrição"/>
    <w:basedOn w:val="Pargrafo"/>
    <w:pPr>
      <w:spacing w:before="60" w:after="60"/>
      <w:ind w:left="2268" w:firstLine="0"/>
    </w:pPr>
    <w:rPr>
      <w:i/>
    </w:rPr>
  </w:style>
  <w:style w:type="paragraph" w:styleId="Cabealho">
    <w:name w:val="header"/>
    <w:basedOn w:val="Normal"/>
    <w:rsid w:val="002331F7"/>
    <w:pPr>
      <w:tabs>
        <w:tab w:val="center" w:pos="4252"/>
        <w:tab w:val="right" w:pos="8504"/>
      </w:tabs>
    </w:pPr>
  </w:style>
  <w:style w:type="paragraph" w:customStyle="1" w:styleId="transcrio2">
    <w:name w:val="transcrição 2"/>
    <w:basedOn w:val="Transcrio"/>
    <w:pPr>
      <w:ind w:left="2835"/>
    </w:pPr>
  </w:style>
  <w:style w:type="paragraph" w:customStyle="1" w:styleId="transcrio3">
    <w:name w:val="transcrição 3"/>
    <w:basedOn w:val="Identificao"/>
    <w:pPr>
      <w:ind w:left="3686"/>
    </w:pPr>
    <w:rPr>
      <w:i/>
      <w:iCs/>
    </w:rPr>
  </w:style>
  <w:style w:type="paragraph" w:customStyle="1" w:styleId="transcrio4">
    <w:name w:val="transcrição 4"/>
    <w:basedOn w:val="transcrio3"/>
    <w:pPr>
      <w:ind w:left="4536"/>
    </w:pPr>
  </w:style>
  <w:style w:type="paragraph" w:customStyle="1" w:styleId="assinatura">
    <w:name w:val="assinatura"/>
    <w:basedOn w:val="Pargrafo"/>
    <w:pPr>
      <w:spacing w:before="0" w:after="0"/>
      <w:ind w:firstLine="0"/>
      <w:jc w:val="center"/>
    </w:pPr>
  </w:style>
  <w:style w:type="paragraph" w:customStyle="1" w:styleId="Pargrafo2">
    <w:name w:val="Parágrafo 2"/>
    <w:basedOn w:val="Pargrafo"/>
    <w:pPr>
      <w:spacing w:line="480" w:lineRule="auto"/>
    </w:pPr>
  </w:style>
  <w:style w:type="paragraph" w:styleId="Rodap">
    <w:name w:val="footer"/>
    <w:basedOn w:val="Normal"/>
    <w:rsid w:val="002331F7"/>
    <w:pPr>
      <w:tabs>
        <w:tab w:val="center" w:pos="4252"/>
        <w:tab w:val="right" w:pos="8504"/>
      </w:tabs>
    </w:pPr>
  </w:style>
  <w:style w:type="character" w:customStyle="1" w:styleId="PargrafoChar">
    <w:name w:val="Parágrafo Char"/>
    <w:basedOn w:val="Fontepargpadro"/>
    <w:link w:val="Pargrafo"/>
    <w:uiPriority w:val="99"/>
    <w:locked/>
    <w:rsid w:val="008566FF"/>
    <w:rPr>
      <w:rFonts w:ascii="Arial" w:hAnsi="Arial"/>
      <w:sz w:val="22"/>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rvora2-trf1\Modelos\modelos%20gabinetes\M&#193;SCARA%20PADR&#195;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MÁSCARA PADRÃO</Template>
  <TotalTime>1</TotalTime>
  <Pages>5</Pages>
  <Words>1464</Words>
  <Characters>8652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lpstr>
    </vt:vector>
  </TitlesOfParts>
  <Company>trf1</Company>
  <LinksUpToDate>false</LinksUpToDate>
  <CharactersWithSpaces>10096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tr18164ps</dc:creator>
  <cp:keywords/>
  <dc:description/>
  <cp:lastModifiedBy>tr18164ps</cp:lastModifiedBy>
  <cp:revision>1</cp:revision>
  <dcterms:created xsi:type="dcterms:W3CDTF">2018-05-10T12:45:00Z</dcterms:created>
  <dcterms:modified xsi:type="dcterms:W3CDTF">2018-05-10T12:46:00Z</dcterms:modified>
</cp:coreProperties>
</file>