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EBA" w:rsidRDefault="00A54EBA" w:rsidP="00757D2B">
      <w:pPr>
        <w:pStyle w:val="TextosemFormatao"/>
        <w:rPr>
          <w:rFonts w:ascii="Courier New" w:hAnsi="Courier New" w:cs="Courier New"/>
        </w:rPr>
      </w:pPr>
    </w:p>
    <w:p w:rsidR="00A54EBA" w:rsidRPr="00757D2B" w:rsidRDefault="00A54EBA" w:rsidP="00A54EBA">
      <w:pPr>
        <w:pStyle w:val="Identificao"/>
      </w:pPr>
      <w:r w:rsidRPr="00757D2B">
        <w:t xml:space="preserve">Numeração Única: 372624220164013400 </w:t>
      </w:r>
    </w:p>
    <w:p w:rsidR="00A54EBA" w:rsidRPr="00757D2B" w:rsidRDefault="00A54EBA" w:rsidP="00A54EBA">
      <w:pPr>
        <w:pStyle w:val="Identificao"/>
      </w:pPr>
      <w:r w:rsidRPr="00757D2B">
        <w:t>PEDIDO DE UNIFORMIZAÇÃO DE INTERPRETAÇÃO DE LEI FEDERAL</w:t>
      </w:r>
      <w:proofErr w:type="gramStart"/>
      <w:r w:rsidRPr="00757D2B">
        <w:t xml:space="preserve">  </w:t>
      </w:r>
      <w:proofErr w:type="gramEnd"/>
      <w:r w:rsidRPr="00757D2B">
        <w:t>2016.34.00.048934-5/DF</w:t>
      </w:r>
    </w:p>
    <w:p w:rsidR="00A54EBA" w:rsidRPr="00757D2B" w:rsidRDefault="00A54EBA" w:rsidP="00A54EBA">
      <w:pPr>
        <w:pStyle w:val="Identificao"/>
      </w:pPr>
      <w:r w:rsidRPr="00757D2B">
        <w:t>Processo na Origem: 372624220164013400</w:t>
      </w:r>
    </w:p>
    <w:p w:rsidR="00A54EBA" w:rsidRDefault="00A54EBA" w:rsidP="00A54EBA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A54EBA" w:rsidRPr="00A54EBA" w:rsidTr="00A54EBA">
        <w:tc>
          <w:tcPr>
            <w:tcW w:w="20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proofErr w:type="gramStart"/>
            <w:r w:rsidRPr="00A54EBA">
              <w:t>RELATOR(</w:t>
            </w:r>
            <w:proofErr w:type="gramEnd"/>
            <w:r w:rsidRPr="00A54EBA">
              <w:t>A)</w:t>
            </w:r>
          </w:p>
        </w:tc>
        <w:tc>
          <w:tcPr>
            <w:tcW w:w="3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>:</w:t>
            </w:r>
          </w:p>
        </w:tc>
        <w:tc>
          <w:tcPr>
            <w:tcW w:w="76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>JUÍZA FEDERAL SILVIA ELENA PETRY WIESER</w:t>
            </w:r>
          </w:p>
        </w:tc>
      </w:tr>
      <w:tr w:rsidR="00A54EBA" w:rsidRPr="00A54EBA" w:rsidTr="00A54EBA">
        <w:tc>
          <w:tcPr>
            <w:tcW w:w="20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>RECORRENTE</w:t>
            </w:r>
          </w:p>
        </w:tc>
        <w:tc>
          <w:tcPr>
            <w:tcW w:w="3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>:</w:t>
            </w:r>
          </w:p>
        </w:tc>
        <w:tc>
          <w:tcPr>
            <w:tcW w:w="76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 xml:space="preserve">UNIAO FEDERAL </w:t>
            </w:r>
          </w:p>
        </w:tc>
      </w:tr>
      <w:tr w:rsidR="00A54EBA" w:rsidRPr="00A54EBA" w:rsidTr="00A54EBA">
        <w:tc>
          <w:tcPr>
            <w:tcW w:w="20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>PROCURADOR</w:t>
            </w:r>
          </w:p>
        </w:tc>
        <w:tc>
          <w:tcPr>
            <w:tcW w:w="3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>:</w:t>
            </w:r>
          </w:p>
        </w:tc>
        <w:tc>
          <w:tcPr>
            <w:tcW w:w="76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 xml:space="preserve">NIOMAR DE SOUSA NOGUEIRA </w:t>
            </w:r>
          </w:p>
        </w:tc>
      </w:tr>
      <w:tr w:rsidR="00A54EBA" w:rsidRPr="00A54EBA" w:rsidTr="00A54EBA">
        <w:tc>
          <w:tcPr>
            <w:tcW w:w="20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>RECORRIDO</w:t>
            </w:r>
          </w:p>
        </w:tc>
        <w:tc>
          <w:tcPr>
            <w:tcW w:w="3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>:</w:t>
            </w:r>
          </w:p>
        </w:tc>
        <w:tc>
          <w:tcPr>
            <w:tcW w:w="76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 xml:space="preserve">ANTONIO NUNES MENEZES FILHO </w:t>
            </w:r>
          </w:p>
        </w:tc>
      </w:tr>
      <w:tr w:rsidR="00A54EBA" w:rsidRPr="00A54EBA" w:rsidTr="00A54EBA">
        <w:tc>
          <w:tcPr>
            <w:tcW w:w="20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>ADVOGADO</w:t>
            </w:r>
          </w:p>
        </w:tc>
        <w:tc>
          <w:tcPr>
            <w:tcW w:w="3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>:</w:t>
            </w:r>
          </w:p>
        </w:tc>
        <w:tc>
          <w:tcPr>
            <w:tcW w:w="7600" w:type="dxa"/>
            <w:shd w:val="clear" w:color="auto" w:fill="auto"/>
          </w:tcPr>
          <w:p w:rsidR="00A54EBA" w:rsidRPr="00A54EBA" w:rsidRDefault="00A54EBA" w:rsidP="00A54EBA">
            <w:pPr>
              <w:pStyle w:val="Identificao"/>
            </w:pPr>
            <w:r w:rsidRPr="00A54EBA">
              <w:t xml:space="preserve">DF0001599A - GERALDO MAGELA HERMOGENES DA SILVA E </w:t>
            </w:r>
            <w:proofErr w:type="gramStart"/>
            <w:r w:rsidRPr="00A54EBA">
              <w:t>OUTROS(</w:t>
            </w:r>
            <w:proofErr w:type="gramEnd"/>
            <w:r w:rsidRPr="00A54EBA">
              <w:t>AS)</w:t>
            </w:r>
          </w:p>
        </w:tc>
      </w:tr>
    </w:tbl>
    <w:p w:rsidR="00A54EBA" w:rsidRDefault="00A54EBA" w:rsidP="00A54EBA">
      <w:pPr>
        <w:pStyle w:val="Identificao"/>
      </w:pPr>
    </w:p>
    <w:p w:rsidR="0015179D" w:rsidRDefault="00A54EBA" w:rsidP="00A54EBA">
      <w:pPr>
        <w:pStyle w:val="centralizar"/>
      </w:pPr>
      <w:r>
        <w:t>EMENTA</w:t>
      </w:r>
    </w:p>
    <w:p w:rsidR="00A54EBA" w:rsidRDefault="00A54EBA" w:rsidP="00A54EBA">
      <w:pPr>
        <w:tabs>
          <w:tab w:val="left" w:pos="1224"/>
        </w:tabs>
        <w:jc w:val="both"/>
        <w:rPr>
          <w:rFonts w:ascii="Century Gothic" w:hAnsi="Century Gothic"/>
          <w:b/>
          <w:bCs/>
          <w:sz w:val="22"/>
          <w:szCs w:val="22"/>
        </w:rPr>
      </w:pPr>
      <w:proofErr w:type="gramStart"/>
      <w:r>
        <w:rPr>
          <w:rFonts w:ascii="Century Gothic" w:hAnsi="Century Gothic"/>
          <w:b/>
          <w:bCs/>
          <w:sz w:val="22"/>
          <w:szCs w:val="22"/>
        </w:rPr>
        <w:t>PROCESSUAL CIVIL E ADMINISTRATIVO.</w:t>
      </w:r>
      <w:proofErr w:type="gramEnd"/>
      <w:r>
        <w:rPr>
          <w:rFonts w:ascii="Century Gothic" w:hAnsi="Century Gothic"/>
          <w:b/>
          <w:bCs/>
          <w:sz w:val="22"/>
          <w:szCs w:val="22"/>
        </w:rPr>
        <w:t xml:space="preserve"> SERVIDOR PÚBLICO. </w:t>
      </w:r>
      <w:proofErr w:type="gramStart"/>
      <w:r>
        <w:rPr>
          <w:rFonts w:ascii="Century Gothic" w:hAnsi="Century Gothic"/>
          <w:b/>
          <w:bCs/>
          <w:sz w:val="22"/>
          <w:szCs w:val="22"/>
        </w:rPr>
        <w:t>CEPLAC.</w:t>
      </w:r>
      <w:proofErr w:type="gramEnd"/>
      <w:r>
        <w:rPr>
          <w:rFonts w:ascii="Century Gothic" w:hAnsi="Century Gothic"/>
          <w:b/>
          <w:bCs/>
          <w:sz w:val="22"/>
          <w:szCs w:val="22"/>
        </w:rPr>
        <w:t xml:space="preserve">  PLANO GERAL DE CARGOS DO PODER EXECUTIVO (PGPE). </w:t>
      </w:r>
      <w:proofErr w:type="gramStart"/>
      <w:r>
        <w:rPr>
          <w:rFonts w:ascii="Century Gothic" w:hAnsi="Century Gothic"/>
          <w:b/>
          <w:bCs/>
          <w:sz w:val="22"/>
          <w:szCs w:val="22"/>
        </w:rPr>
        <w:t>DIREITO AO RENQUADRAMENTO NA CARREIRA DE CIÊNCIA E TECNOLOGIA.</w:t>
      </w:r>
      <w:proofErr w:type="gramEnd"/>
      <w:r>
        <w:rPr>
          <w:rFonts w:ascii="Century Gothic" w:hAnsi="Century Gothic"/>
          <w:b/>
          <w:bCs/>
          <w:sz w:val="22"/>
          <w:szCs w:val="22"/>
        </w:rPr>
        <w:t xml:space="preserve"> DISCUSSÃO EM TORNO DA CONSTITUCIONALIDADE </w:t>
      </w:r>
      <w:proofErr w:type="gramStart"/>
      <w:r>
        <w:rPr>
          <w:rFonts w:ascii="Century Gothic" w:hAnsi="Century Gothic"/>
          <w:b/>
          <w:bCs/>
          <w:sz w:val="22"/>
          <w:szCs w:val="22"/>
        </w:rPr>
        <w:t>DO</w:t>
      </w:r>
      <w:proofErr w:type="gramEnd"/>
      <w:r>
        <w:rPr>
          <w:rFonts w:ascii="Century Gothic" w:hAnsi="Century Gothic"/>
          <w:b/>
          <w:bCs/>
          <w:sz w:val="22"/>
          <w:szCs w:val="22"/>
        </w:rPr>
        <w:t xml:space="preserve"> ART. </w:t>
      </w:r>
      <w:proofErr w:type="gramStart"/>
      <w:r>
        <w:rPr>
          <w:rFonts w:ascii="Century Gothic" w:hAnsi="Century Gothic"/>
          <w:b/>
          <w:bCs/>
          <w:sz w:val="22"/>
          <w:szCs w:val="22"/>
        </w:rPr>
        <w:t>1º, § 3º, DA LEI 8.691/93, NA REDAÇÃO DADA PELA LEI 12.823/13.</w:t>
      </w:r>
      <w:proofErr w:type="gramEnd"/>
      <w:r>
        <w:rPr>
          <w:rFonts w:ascii="Century Gothic" w:hAnsi="Century Gothic"/>
          <w:b/>
          <w:bCs/>
          <w:sz w:val="22"/>
          <w:szCs w:val="22"/>
        </w:rPr>
        <w:t xml:space="preserve"> </w:t>
      </w:r>
      <w:proofErr w:type="gramStart"/>
      <w:r>
        <w:rPr>
          <w:rFonts w:ascii="Century Gothic" w:hAnsi="Century Gothic"/>
          <w:b/>
          <w:bCs/>
          <w:sz w:val="22"/>
          <w:szCs w:val="22"/>
        </w:rPr>
        <w:t>PRINCÍPIO DA ISONOMIA.</w:t>
      </w:r>
      <w:proofErr w:type="gramEnd"/>
      <w:r>
        <w:rPr>
          <w:rFonts w:ascii="Century Gothic" w:hAnsi="Century Gothic"/>
          <w:b/>
          <w:bCs/>
          <w:sz w:val="22"/>
          <w:szCs w:val="22"/>
        </w:rPr>
        <w:t xml:space="preserve"> SÚMULA 86 DA TNU. INCIDENTE NÃO CONHECIDO.</w:t>
      </w:r>
    </w:p>
    <w:p w:rsidR="00A54EBA" w:rsidRDefault="00A54EBA" w:rsidP="00A54EBA">
      <w:pPr>
        <w:pStyle w:val="Corpodetexto2"/>
        <w:spacing w:after="0" w:line="240" w:lineRule="auto"/>
        <w:rPr>
          <w:rFonts w:ascii="Century Gothic" w:hAnsi="Century Gothic"/>
          <w:sz w:val="22"/>
          <w:szCs w:val="22"/>
          <w:lang w:val="pt-PT"/>
        </w:rPr>
      </w:pPr>
    </w:p>
    <w:p w:rsidR="00A54EBA" w:rsidRDefault="00A54EBA" w:rsidP="00A54EBA">
      <w:pPr>
        <w:pStyle w:val="centralizar"/>
      </w:pPr>
      <w:r>
        <w:t>ACÓRDÃO</w:t>
      </w:r>
    </w:p>
    <w:p w:rsidR="00A54EBA" w:rsidRDefault="00A54EBA" w:rsidP="00A54EBA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  <w:lang w:val="pt-PT"/>
        </w:rPr>
      </w:pPr>
      <w:r>
        <w:rPr>
          <w:rFonts w:ascii="Century Gothic" w:hAnsi="Century Gothic"/>
          <w:b/>
          <w:bCs/>
          <w:sz w:val="22"/>
          <w:szCs w:val="22"/>
          <w:lang w:val="pt-PT"/>
        </w:rPr>
        <w:t>VISTOS</w:t>
      </w:r>
      <w:r>
        <w:rPr>
          <w:rFonts w:ascii="Century Gothic" w:hAnsi="Century Gothic"/>
          <w:sz w:val="22"/>
          <w:szCs w:val="22"/>
          <w:lang w:val="pt-PT"/>
        </w:rPr>
        <w:t xml:space="preserve">, relatados e discutidos os autos, à unanimidade, </w:t>
      </w:r>
      <w:r>
        <w:rPr>
          <w:rFonts w:ascii="Century Gothic" w:hAnsi="Century Gothic"/>
          <w:b/>
          <w:bCs/>
          <w:sz w:val="22"/>
          <w:szCs w:val="22"/>
          <w:lang w:val="pt-PT"/>
        </w:rPr>
        <w:t>ACORDAM</w:t>
      </w:r>
      <w:r>
        <w:rPr>
          <w:rFonts w:ascii="Century Gothic" w:hAnsi="Century Gothic"/>
          <w:sz w:val="22"/>
          <w:szCs w:val="22"/>
          <w:lang w:val="pt-PT"/>
        </w:rPr>
        <w:t xml:space="preserve"> os Juízes da Turma Regional de Uniformização de Jurisprudência dos Juizados Especiais Federais da 1ª Região</w:t>
      </w:r>
      <w:r>
        <w:rPr>
          <w:rFonts w:ascii="Century Gothic" w:hAnsi="Century Gothic"/>
          <w:sz w:val="22"/>
          <w:szCs w:val="22"/>
        </w:rPr>
        <w:t xml:space="preserve">, </w:t>
      </w:r>
      <w:proofErr w:type="spellStart"/>
      <w:r>
        <w:rPr>
          <w:rFonts w:ascii="Century Gothic" w:hAnsi="Century Gothic"/>
          <w:sz w:val="22"/>
          <w:szCs w:val="22"/>
        </w:rPr>
        <w:t>não</w:t>
      </w:r>
      <w:proofErr w:type="spellEnd"/>
      <w:r>
        <w:rPr>
          <w:rFonts w:ascii="Century Gothic" w:hAnsi="Century Gothic"/>
          <w:sz w:val="22"/>
          <w:szCs w:val="22"/>
        </w:rPr>
        <w:t xml:space="preserve"> </w:t>
      </w:r>
      <w:proofErr w:type="spellStart"/>
      <w:r>
        <w:rPr>
          <w:rFonts w:ascii="Century Gothic" w:hAnsi="Century Gothic"/>
          <w:sz w:val="22"/>
          <w:szCs w:val="22"/>
        </w:rPr>
        <w:t>conhecer</w:t>
      </w:r>
      <w:proofErr w:type="spellEnd"/>
      <w:r>
        <w:rPr>
          <w:rFonts w:ascii="Century Gothic" w:hAnsi="Century Gothic"/>
          <w:sz w:val="22"/>
          <w:szCs w:val="22"/>
        </w:rPr>
        <w:t xml:space="preserve"> o </w:t>
      </w:r>
      <w:proofErr w:type="spellStart"/>
      <w:r>
        <w:rPr>
          <w:rFonts w:ascii="Century Gothic" w:hAnsi="Century Gothic"/>
          <w:sz w:val="22"/>
          <w:szCs w:val="22"/>
        </w:rPr>
        <w:t>incidente</w:t>
      </w:r>
      <w:proofErr w:type="spellEnd"/>
      <w:r>
        <w:rPr>
          <w:rFonts w:ascii="Century Gothic" w:hAnsi="Century Gothic"/>
          <w:sz w:val="22"/>
          <w:szCs w:val="22"/>
        </w:rPr>
        <w:t xml:space="preserve"> de Uniformização.</w:t>
      </w:r>
    </w:p>
    <w:p w:rsidR="00A54EBA" w:rsidRDefault="00A54EBA" w:rsidP="00A54EBA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  <w:lang w:val="pt-PT"/>
        </w:rPr>
      </w:pPr>
      <w:r>
        <w:rPr>
          <w:rFonts w:ascii="Century Gothic" w:hAnsi="Century Gothic"/>
          <w:sz w:val="22"/>
          <w:szCs w:val="22"/>
          <w:lang w:val="pt-PT"/>
        </w:rPr>
        <w:t>De Juiz de Fora/MG para Brasília/DF, 22 de novembro de 2019.</w:t>
      </w:r>
    </w:p>
    <w:p w:rsidR="00A54EBA" w:rsidRDefault="00A54EBA" w:rsidP="00A54EBA">
      <w:pPr>
        <w:pStyle w:val="Corpodetexto"/>
        <w:spacing w:line="360" w:lineRule="auto"/>
        <w:ind w:firstLine="1134"/>
        <w:rPr>
          <w:rFonts w:ascii="Century Gothic" w:hAnsi="Century Gothic"/>
          <w:sz w:val="22"/>
          <w:szCs w:val="22"/>
          <w:lang w:val="pt-PT"/>
        </w:rPr>
      </w:pPr>
    </w:p>
    <w:p w:rsidR="00A54EBA" w:rsidRDefault="00A54EBA" w:rsidP="00A54EBA">
      <w:pPr>
        <w:spacing w:line="360" w:lineRule="auto"/>
        <w:jc w:val="center"/>
        <w:rPr>
          <w:rFonts w:ascii="Century Gothic" w:hAnsi="Century Gothic"/>
          <w:sz w:val="22"/>
          <w:szCs w:val="22"/>
          <w:lang w:val="pt-PT"/>
        </w:rPr>
      </w:pPr>
      <w:r>
        <w:rPr>
          <w:rFonts w:ascii="Century Gothic" w:hAnsi="Century Gothic"/>
          <w:bCs/>
          <w:sz w:val="22"/>
          <w:szCs w:val="22"/>
          <w:lang w:val="pt-PT"/>
        </w:rPr>
        <w:t>Juíza Federal</w:t>
      </w:r>
      <w:r>
        <w:rPr>
          <w:rFonts w:ascii="Century Gothic" w:hAnsi="Century Gothic"/>
          <w:b/>
          <w:bCs/>
          <w:sz w:val="22"/>
          <w:szCs w:val="22"/>
          <w:lang w:val="pt-PT"/>
        </w:rPr>
        <w:t xml:space="preserve"> Silvia Elena Petry Wieser</w:t>
      </w:r>
    </w:p>
    <w:p w:rsidR="00A54EBA" w:rsidRDefault="00A54EBA" w:rsidP="00A54EBA">
      <w:pPr>
        <w:spacing w:line="360" w:lineRule="auto"/>
        <w:jc w:val="center"/>
        <w:rPr>
          <w:rFonts w:ascii="Century Gothic" w:hAnsi="Century Gothic"/>
          <w:sz w:val="22"/>
          <w:szCs w:val="22"/>
          <w:lang w:val="pt-PT"/>
        </w:rPr>
      </w:pPr>
      <w:r>
        <w:rPr>
          <w:rFonts w:ascii="Century Gothic" w:hAnsi="Century Gothic"/>
          <w:sz w:val="22"/>
          <w:szCs w:val="22"/>
          <w:lang w:val="pt-PT"/>
        </w:rPr>
        <w:t>Relatora</w:t>
      </w:r>
    </w:p>
    <w:p w:rsidR="00A54EBA" w:rsidRDefault="00A54EBA" w:rsidP="00A54EBA">
      <w:pPr>
        <w:pStyle w:val="Corpodetexto"/>
        <w:spacing w:line="360" w:lineRule="auto"/>
        <w:ind w:firstLine="1134"/>
        <w:rPr>
          <w:rFonts w:ascii="Century Gothic" w:hAnsi="Century Gothic"/>
          <w:sz w:val="22"/>
          <w:szCs w:val="22"/>
          <w:lang w:val="pt-PT"/>
        </w:rPr>
      </w:pPr>
    </w:p>
    <w:p w:rsidR="00A54EBA" w:rsidRPr="00A54EBA" w:rsidRDefault="00A54EBA" w:rsidP="00A54EBA">
      <w:pPr>
        <w:pStyle w:val="Pargrafo"/>
      </w:pPr>
    </w:p>
    <w:sectPr w:rsidR="00A54EBA" w:rsidRPr="00A54EBA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EBA" w:rsidRDefault="00A54EBA">
      <w:r>
        <w:separator/>
      </w:r>
    </w:p>
  </w:endnote>
  <w:endnote w:type="continuationSeparator" w:id="0">
    <w:p w:rsidR="00A54EBA" w:rsidRDefault="00A54E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304C4D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304C4D">
      <w:rPr>
        <w:rFonts w:ascii="Arial" w:hAnsi="Arial"/>
        <w:sz w:val="10"/>
      </w:rPr>
      <w:fldChar w:fldCharType="separate"/>
    </w:r>
    <w:r w:rsidR="00A54EBA">
      <w:rPr>
        <w:rFonts w:ascii="Arial" w:hAnsi="Arial"/>
        <w:noProof/>
        <w:sz w:val="10"/>
      </w:rPr>
      <w:t>Documento1</w:t>
    </w:r>
    <w:r w:rsidR="00304C4D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304C4D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304C4D">
      <w:rPr>
        <w:rFonts w:ascii="Arial" w:hAnsi="Arial"/>
        <w:sz w:val="13"/>
      </w:rPr>
      <w:fldChar w:fldCharType="separate"/>
    </w:r>
    <w:r w:rsidR="00A54EBA">
      <w:rPr>
        <w:rFonts w:ascii="Arial" w:hAnsi="Arial"/>
        <w:noProof/>
        <w:sz w:val="13"/>
      </w:rPr>
      <w:t>Documento1</w:t>
    </w:r>
    <w:r w:rsidR="00304C4D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proofErr w:type="spellStart"/>
    <w:r>
      <w:rPr>
        <w:rFonts w:ascii="Arial" w:hAnsi="Arial"/>
        <w:sz w:val="13"/>
      </w:rPr>
      <w:t>Criado</w:t>
    </w:r>
    <w:proofErr w:type="spellEnd"/>
    <w:r>
      <w:rPr>
        <w:rFonts w:ascii="Arial" w:hAnsi="Arial"/>
        <w:sz w:val="13"/>
      </w:rPr>
      <w:t xml:space="preserve"> </w:t>
    </w:r>
    <w:proofErr w:type="spellStart"/>
    <w:r>
      <w:rPr>
        <w:rFonts w:ascii="Arial" w:hAnsi="Arial"/>
        <w:sz w:val="13"/>
      </w:rPr>
      <w:t>por</w:t>
    </w:r>
    <w:proofErr w:type="spellEnd"/>
    <w:r>
      <w:rPr>
        <w:rFonts w:ascii="Arial" w:hAnsi="Arial"/>
        <w:sz w:val="13"/>
      </w:rPr>
      <w:t xml:space="preserve"> </w:t>
    </w:r>
    <w:r w:rsidR="00304C4D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304C4D">
      <w:rPr>
        <w:rFonts w:ascii="Arial" w:hAnsi="Arial"/>
        <w:sz w:val="13"/>
      </w:rPr>
      <w:fldChar w:fldCharType="separate"/>
    </w:r>
    <w:r w:rsidR="00A54EBA">
      <w:rPr>
        <w:rFonts w:ascii="Arial" w:hAnsi="Arial"/>
        <w:noProof/>
        <w:sz w:val="13"/>
      </w:rPr>
      <w:t>tr98403</w:t>
    </w:r>
    <w:r w:rsidR="00304C4D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EBA" w:rsidRDefault="00A54EBA">
      <w:r>
        <w:separator/>
      </w:r>
    </w:p>
  </w:footnote>
  <w:footnote w:type="continuationSeparator" w:id="0">
    <w:p w:rsidR="00A54EBA" w:rsidRDefault="00A54E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</w:rPr>
      <w:t>TRIBUNAL REGIONAL FEDERAL DA PRIMEIRA REGIÃO</w:t>
    </w:r>
    <w:r>
      <w:rPr>
        <w:rFonts w:ascii="Arial" w:hAnsi="Arial"/>
        <w:b/>
      </w:rPr>
      <w:tab/>
    </w:r>
    <w:r>
      <w:rPr>
        <w:rFonts w:ascii="Arial" w:hAnsi="Arial" w:cs="Arial"/>
        <w:bCs/>
        <w:sz w:val="16"/>
      </w:rPr>
      <w:t>fls.</w:t>
    </w:r>
    <w:r w:rsidR="00304C4D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304C4D"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 w:rsidR="00304C4D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304C4D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304C4D">
      <w:rPr>
        <w:rFonts w:ascii="Arial" w:hAnsi="Arial" w:cs="Arial"/>
        <w:bCs/>
        <w:sz w:val="16"/>
      </w:rPr>
      <w:fldChar w:fldCharType="separate"/>
    </w:r>
    <w:r w:rsidR="00A54EBA">
      <w:rPr>
        <w:rFonts w:ascii="Arial" w:hAnsi="Arial" w:cs="Arial"/>
        <w:bCs/>
        <w:noProof/>
        <w:sz w:val="16"/>
      </w:rPr>
      <w:t>1</w:t>
    </w:r>
    <w:r w:rsidR="00304C4D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EBA" w:rsidRPr="00A54EBA" w:rsidRDefault="00A54EBA" w:rsidP="00A54EBA">
    <w:pPr>
      <w:jc w:val="right"/>
      <w:rPr>
        <w:rFonts w:ascii="Interleaved 2of5" w:hAnsi="Interleaved 2of5"/>
        <w:sz w:val="48"/>
      </w:rPr>
    </w:pPr>
    <w:r w:rsidRPr="00A54EBA">
      <w:rPr>
        <w:rFonts w:ascii="Interleaved 2of5" w:hAnsi="Interleaved 2of5"/>
        <w:sz w:val="48"/>
      </w:rPr>
      <w:t>(21ÍX0`ë])</w:t>
    </w:r>
  </w:p>
  <w:p w:rsidR="00A54EBA" w:rsidRDefault="00A54EBA" w:rsidP="00A54EBA">
    <w:pPr>
      <w:spacing w:before="120"/>
      <w:rPr>
        <w:rFonts w:ascii="Arial" w:hAnsi="Arial"/>
        <w:sz w:val="16"/>
      </w:rPr>
    </w:pPr>
  </w:p>
  <w:p w:rsidR="004554A7" w:rsidRDefault="00A54EBA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val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</w:rPr>
      <w:t>TRIBUNAL REGIONAL FEDERAL DA PRIMEIRA REGIÃO</w:t>
    </w:r>
    <w:r>
      <w:rPr>
        <w:rFonts w:ascii="Arial" w:hAnsi="Arial"/>
        <w:b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4C4D"/>
    <w:rsid w:val="0015179D"/>
    <w:rsid w:val="00191A8C"/>
    <w:rsid w:val="001E5DD6"/>
    <w:rsid w:val="002331F7"/>
    <w:rsid w:val="00304C4D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A54EBA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4EBA"/>
    <w:pPr>
      <w:overflowPunct w:val="0"/>
      <w:autoSpaceDE w:val="0"/>
      <w:autoSpaceDN w:val="0"/>
      <w:adjustRightInd w:val="0"/>
    </w:pPr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304C4D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304C4D"/>
    <w:pPr>
      <w:overflowPunct/>
      <w:autoSpaceDE/>
      <w:autoSpaceDN/>
      <w:adjustRightInd/>
      <w:spacing w:before="120" w:after="120"/>
      <w:ind w:firstLine="1418"/>
      <w:jc w:val="both"/>
    </w:pPr>
    <w:rPr>
      <w:rFonts w:ascii="Arial" w:hAnsi="Arial"/>
      <w:sz w:val="22"/>
      <w:szCs w:val="24"/>
      <w:lang w:val="pt-BR"/>
    </w:rPr>
  </w:style>
  <w:style w:type="paragraph" w:customStyle="1" w:styleId="centralizar">
    <w:name w:val="centralizar"/>
    <w:basedOn w:val="Pargrafo"/>
    <w:next w:val="Pargrafo"/>
    <w:rsid w:val="00304C4D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304C4D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overflowPunct/>
      <w:autoSpaceDE/>
      <w:autoSpaceDN/>
      <w:adjustRightInd/>
    </w:pPr>
    <w:rPr>
      <w:sz w:val="24"/>
      <w:szCs w:val="24"/>
      <w:lang w:val="pt-BR"/>
    </w:rPr>
  </w:style>
  <w:style w:type="paragraph" w:customStyle="1" w:styleId="transcrio2">
    <w:name w:val="transcrição 2"/>
    <w:basedOn w:val="Transcrio"/>
    <w:rsid w:val="00304C4D"/>
    <w:pPr>
      <w:ind w:left="2835"/>
    </w:pPr>
  </w:style>
  <w:style w:type="paragraph" w:customStyle="1" w:styleId="transcrio3">
    <w:name w:val="transcrição 3"/>
    <w:basedOn w:val="Identificao"/>
    <w:rsid w:val="00304C4D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304C4D"/>
    <w:pPr>
      <w:ind w:left="4536"/>
    </w:pPr>
  </w:style>
  <w:style w:type="paragraph" w:customStyle="1" w:styleId="assinatura">
    <w:name w:val="assinatura"/>
    <w:basedOn w:val="Pargrafo"/>
    <w:rsid w:val="00304C4D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304C4D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overflowPunct/>
      <w:autoSpaceDE/>
      <w:autoSpaceDN/>
      <w:adjustRightInd/>
    </w:pPr>
    <w:rPr>
      <w:sz w:val="24"/>
      <w:szCs w:val="24"/>
      <w:lang w:val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A54EBA"/>
    <w:pPr>
      <w:overflowPunct/>
      <w:autoSpaceDE/>
      <w:autoSpaceDN/>
      <w:adjustRightInd/>
    </w:pPr>
    <w:rPr>
      <w:rFonts w:ascii="Consolas" w:eastAsiaTheme="minorHAnsi" w:hAnsi="Consolas" w:cstheme="minorBidi"/>
      <w:sz w:val="21"/>
      <w:szCs w:val="21"/>
      <w:lang w:val="pt-BR"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54EBA"/>
    <w:rPr>
      <w:rFonts w:ascii="Consolas" w:eastAsiaTheme="minorHAnsi" w:hAnsi="Consolas" w:cstheme="minorBidi"/>
      <w:sz w:val="21"/>
      <w:szCs w:val="21"/>
      <w:lang w:eastAsia="en-US"/>
    </w:rPr>
  </w:style>
  <w:style w:type="paragraph" w:styleId="Corpodetexto2">
    <w:name w:val="Body Text 2"/>
    <w:basedOn w:val="Normal"/>
    <w:link w:val="Corpodetexto2Char"/>
    <w:unhideWhenUsed/>
    <w:rsid w:val="00A54EB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54EBA"/>
    <w:rPr>
      <w:lang w:val="en-US"/>
    </w:rPr>
  </w:style>
  <w:style w:type="paragraph" w:styleId="Corpodetexto">
    <w:name w:val="Body Text"/>
    <w:basedOn w:val="Normal"/>
    <w:link w:val="CorpodetextoChar"/>
    <w:rsid w:val="00A54EB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A54EBA"/>
    <w:rPr>
      <w:lang w:val="en-US"/>
    </w:rPr>
  </w:style>
  <w:style w:type="paragraph" w:styleId="Textodebalo">
    <w:name w:val="Balloon Text"/>
    <w:basedOn w:val="Normal"/>
    <w:link w:val="TextodebaloChar"/>
    <w:rsid w:val="001E5D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E5DD6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3</TotalTime>
  <Pages>1</Pages>
  <Words>155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tr98403</dc:creator>
  <cp:lastModifiedBy>tr98403</cp:lastModifiedBy>
  <cp:revision>2</cp:revision>
  <dcterms:created xsi:type="dcterms:W3CDTF">2020-11-20T13:21:00Z</dcterms:created>
  <dcterms:modified xsi:type="dcterms:W3CDTF">2020-11-24T11:39:00Z</dcterms:modified>
</cp:coreProperties>
</file>