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92C" w:rsidRPr="003562A3" w:rsidRDefault="0072592C" w:rsidP="001749B3">
      <w:pPr>
        <w:pStyle w:val="Identificao"/>
        <w:rPr>
          <w:b/>
          <w:szCs w:val="22"/>
        </w:rPr>
      </w:pPr>
      <w:r w:rsidRPr="003562A3">
        <w:rPr>
          <w:b/>
          <w:szCs w:val="22"/>
        </w:rPr>
        <w:t>EMBARGOS DE DECLARAÇÃO EM EMBARGOS DE DECLARAÇÃO NA</w:t>
      </w:r>
      <w:r w:rsidR="001749B3" w:rsidRPr="003562A3">
        <w:rPr>
          <w:b/>
          <w:szCs w:val="22"/>
        </w:rPr>
        <w:t xml:space="preserve"> </w:t>
      </w:r>
      <w:r w:rsidRPr="003562A3">
        <w:rPr>
          <w:b/>
          <w:szCs w:val="22"/>
        </w:rPr>
        <w:t xml:space="preserve">APELAÇÃO/REEXAME NECESSÁRIO N. 0006457-70.2016.4.01.3800/MG (d) </w:t>
      </w:r>
    </w:p>
    <w:p w:rsidR="001749B3" w:rsidRDefault="001749B3" w:rsidP="001749B3">
      <w:pPr>
        <w:pStyle w:val="centralizar"/>
        <w:spacing w:before="120" w:after="120"/>
      </w:pPr>
      <w:r>
        <w:t>RELATÓRIO</w:t>
      </w:r>
    </w:p>
    <w:p w:rsidR="0072592C" w:rsidRDefault="0072592C" w:rsidP="0072592C">
      <w:pPr>
        <w:spacing w:before="120" w:after="120" w:line="240" w:lineRule="auto"/>
        <w:ind w:firstLine="1418"/>
        <w:jc w:val="both"/>
        <w:rPr>
          <w:rFonts w:ascii="Arial" w:eastAsia="Times New Roman" w:hAnsi="Arial" w:cs="Times New Roman"/>
          <w:spacing w:val="-2"/>
          <w:lang w:eastAsia="pt-BR"/>
        </w:rPr>
      </w:pPr>
      <w:r>
        <w:rPr>
          <w:rFonts w:ascii="Arial" w:eastAsia="Times New Roman" w:hAnsi="Arial" w:cs="Arial"/>
          <w:b/>
          <w:bCs/>
          <w:spacing w:val="-2"/>
          <w:lang w:eastAsia="pt-BR"/>
        </w:rPr>
        <w:t xml:space="preserve">O EXMO. </w:t>
      </w:r>
      <w:proofErr w:type="gramStart"/>
      <w:r>
        <w:rPr>
          <w:rFonts w:ascii="Arial" w:eastAsia="Times New Roman" w:hAnsi="Arial" w:cs="Arial"/>
          <w:b/>
          <w:bCs/>
          <w:spacing w:val="-2"/>
          <w:lang w:eastAsia="pt-BR"/>
        </w:rPr>
        <w:t>SR.</w:t>
      </w:r>
      <w:proofErr w:type="gramEnd"/>
      <w:r>
        <w:rPr>
          <w:rFonts w:ascii="Arial" w:eastAsia="Times New Roman" w:hAnsi="Arial" w:cs="Arial"/>
          <w:b/>
          <w:bCs/>
          <w:spacing w:val="-2"/>
          <w:lang w:eastAsia="pt-BR"/>
        </w:rPr>
        <w:t xml:space="preserve"> DESEMBARGADOR FEDERAL HERCULES FAJOSES (RELATOR):</w:t>
      </w:r>
    </w:p>
    <w:p w:rsidR="0072592C" w:rsidRDefault="0072592C" w:rsidP="0072592C">
      <w:pPr>
        <w:spacing w:before="120" w:after="120" w:line="240" w:lineRule="auto"/>
        <w:ind w:firstLine="1418"/>
        <w:jc w:val="both"/>
        <w:rPr>
          <w:rFonts w:ascii="Arial" w:eastAsia="Times New Roman" w:hAnsi="Arial" w:cs="Times New Roman"/>
          <w:bCs/>
          <w:lang w:eastAsia="pt-BR"/>
        </w:rPr>
      </w:pPr>
      <w:r>
        <w:rPr>
          <w:rFonts w:ascii="Arial" w:eastAsia="Times New Roman" w:hAnsi="Arial" w:cs="Times New Roman"/>
          <w:lang w:eastAsia="pt-BR"/>
        </w:rPr>
        <w:t xml:space="preserve">Trata-se de embargos de declaração em embargos de declaração opostos </w:t>
      </w:r>
      <w:r>
        <w:rPr>
          <w:rFonts w:ascii="Arial" w:eastAsia="Times New Roman" w:hAnsi="Arial" w:cs="Times New Roman"/>
          <w:szCs w:val="24"/>
          <w:lang w:eastAsia="pt-BR"/>
        </w:rPr>
        <w:t xml:space="preserve">por </w:t>
      </w:r>
      <w:r>
        <w:rPr>
          <w:rFonts w:ascii="Arial" w:eastAsia="Times New Roman" w:hAnsi="Arial" w:cs="Arial"/>
          <w:bCs/>
          <w:lang w:eastAsia="pt-BR"/>
        </w:rPr>
        <w:t xml:space="preserve">PATRUS TRANSPORTES URGENTES LTDA. </w:t>
      </w:r>
      <w:r>
        <w:rPr>
          <w:rFonts w:ascii="Arial" w:eastAsia="Times New Roman" w:hAnsi="Arial" w:cs="Times New Roman"/>
          <w:lang w:eastAsia="pt-BR"/>
        </w:rPr>
        <w:t>contra acórdão cuja ementa segue abaixo transcrita:</w:t>
      </w:r>
    </w:p>
    <w:p w:rsidR="0072592C" w:rsidRDefault="0072592C" w:rsidP="001749B3">
      <w:pPr>
        <w:pStyle w:val="Transcrio"/>
      </w:pPr>
      <w:r>
        <w:t>PROCESSUAL CIVIL. EMBARGOS DE DECLARAÇÃO. HIPÓTESES DO ART. 1.022 DO CPC PRESENTES. OMISSÃO. OCORRÊNCIA. EXCLUSÃO DO ICMS, DO PIS E DA COFINS DA BASE DE CÁLCULO DA CPRB.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Cs w:val="24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 xml:space="preserve">1. A robustez na fundamentação do acórdão embargado dispensa maiores digressões, na medida em que explicita à exaustão suas razões, analisando </w:t>
      </w:r>
      <w:proofErr w:type="gramStart"/>
      <w:r>
        <w:rPr>
          <w:rFonts w:ascii="Arial" w:eastAsia="Times New Roman" w:hAnsi="Arial" w:cs="Times New Roman"/>
          <w:i/>
          <w:szCs w:val="24"/>
          <w:lang w:eastAsia="pt-BR"/>
        </w:rPr>
        <w:t>a presente</w:t>
      </w:r>
      <w:proofErr w:type="gramEnd"/>
      <w:r>
        <w:rPr>
          <w:rFonts w:ascii="Arial" w:eastAsia="Times New Roman" w:hAnsi="Arial" w:cs="Times New Roman"/>
          <w:i/>
          <w:szCs w:val="24"/>
          <w:lang w:eastAsia="pt-BR"/>
        </w:rPr>
        <w:t xml:space="preserve"> causa com a profundidade e a pertinência exigidas em uma Corte de Apelação (conforme relatório, voto e ementa que "</w:t>
      </w:r>
      <w:r>
        <w:rPr>
          <w:rFonts w:ascii="Arial" w:eastAsia="Times New Roman" w:hAnsi="Arial" w:cs="Times New Roman"/>
          <w:i/>
          <w:iCs/>
          <w:szCs w:val="24"/>
          <w:lang w:eastAsia="pt-BR"/>
        </w:rPr>
        <w:t xml:space="preserve">per </w:t>
      </w:r>
      <w:proofErr w:type="spellStart"/>
      <w:r>
        <w:rPr>
          <w:rFonts w:ascii="Arial" w:eastAsia="Times New Roman" w:hAnsi="Arial" w:cs="Times New Roman"/>
          <w:i/>
          <w:iCs/>
          <w:szCs w:val="24"/>
          <w:lang w:eastAsia="pt-BR"/>
        </w:rPr>
        <w:t>relationem</w:t>
      </w:r>
      <w:proofErr w:type="spellEnd"/>
      <w:r>
        <w:rPr>
          <w:rFonts w:ascii="Arial" w:eastAsia="Times New Roman" w:hAnsi="Arial" w:cs="Times New Roman"/>
          <w:i/>
          <w:szCs w:val="24"/>
          <w:lang w:eastAsia="pt-BR"/>
        </w:rPr>
        <w:t>" passam a integrar a fundamentação deste julgado).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Cs w:val="24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>2. O dever de fundamentação das decisões judiciais, que consta expressamente do texto constitucional (art. 93, IX, da CF), não impõe ao magistrado a obrigação de utilizar-se dos fundamentos que as partes entendem ser os mais adequados. Basta que a fundamentação apresentada tenha sido suficientemente utilizada no deslinde da questão para que a norma constitucional seja observada em sua integralidade.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Cs w:val="24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 xml:space="preserve">3. </w:t>
      </w:r>
      <w:r>
        <w:rPr>
          <w:rFonts w:ascii="Arial" w:eastAsia="Times New Roman" w:hAnsi="Arial" w:cs="Times New Roman"/>
          <w:i/>
          <w:iCs/>
          <w:szCs w:val="24"/>
          <w:lang w:eastAsia="pt-BR"/>
        </w:rPr>
        <w:t>“Descabe, em sede de embargos de declaração, a rediscussão de matéria meritória, exaustivamente analisada pelo acórdão embargado</w:t>
      </w:r>
      <w:proofErr w:type="gramStart"/>
      <w:r>
        <w:rPr>
          <w:rFonts w:ascii="Arial" w:eastAsia="Times New Roman" w:hAnsi="Arial" w:cs="Times New Roman"/>
          <w:i/>
          <w:iCs/>
          <w:szCs w:val="24"/>
          <w:lang w:eastAsia="pt-BR"/>
        </w:rPr>
        <w:t>”</w:t>
      </w:r>
      <w:proofErr w:type="gramEnd"/>
      <w:r>
        <w:rPr>
          <w:rFonts w:ascii="Arial" w:eastAsia="Times New Roman" w:hAnsi="Arial" w:cs="Times New Roman"/>
          <w:i/>
          <w:iCs/>
          <w:szCs w:val="24"/>
          <w:lang w:eastAsia="pt-BR"/>
        </w:rPr>
        <w:t xml:space="preserve"> </w:t>
      </w:r>
      <w:r>
        <w:rPr>
          <w:rFonts w:ascii="Arial" w:eastAsia="Times New Roman" w:hAnsi="Arial" w:cs="Times New Roman"/>
          <w:i/>
          <w:szCs w:val="24"/>
          <w:lang w:eastAsia="pt-BR"/>
        </w:rPr>
        <w:t>(</w:t>
      </w:r>
      <w:proofErr w:type="spellStart"/>
      <w:proofErr w:type="gramStart"/>
      <w:r>
        <w:rPr>
          <w:rFonts w:ascii="Arial" w:eastAsia="Times New Roman" w:hAnsi="Arial" w:cs="Times New Roman"/>
          <w:i/>
          <w:szCs w:val="24"/>
          <w:lang w:eastAsia="pt-BR"/>
        </w:rPr>
        <w:t>EDREsp</w:t>
      </w:r>
      <w:proofErr w:type="spellEnd"/>
      <w:proofErr w:type="gramEnd"/>
      <w:r>
        <w:rPr>
          <w:rFonts w:ascii="Arial" w:eastAsia="Times New Roman" w:hAnsi="Arial" w:cs="Times New Roman"/>
          <w:i/>
          <w:szCs w:val="24"/>
          <w:lang w:eastAsia="pt-BR"/>
        </w:rPr>
        <w:t xml:space="preserve"> 1127913, Rel. Luis Felipe Salomão, Quarta Turma, </w:t>
      </w:r>
      <w:proofErr w:type="spellStart"/>
      <w:r>
        <w:rPr>
          <w:rFonts w:ascii="Arial" w:eastAsia="Times New Roman" w:hAnsi="Arial" w:cs="Times New Roman"/>
          <w:i/>
          <w:szCs w:val="24"/>
          <w:lang w:eastAsia="pt-BR"/>
        </w:rPr>
        <w:t>DJe</w:t>
      </w:r>
      <w:proofErr w:type="spellEnd"/>
      <w:r>
        <w:rPr>
          <w:rFonts w:ascii="Arial" w:eastAsia="Times New Roman" w:hAnsi="Arial" w:cs="Times New Roman"/>
          <w:i/>
          <w:szCs w:val="24"/>
          <w:lang w:eastAsia="pt-BR"/>
        </w:rPr>
        <w:t xml:space="preserve"> de 04/02/2013).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Cs w:val="24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>4. No tocante à omissão apontada pela impetrante, observa-se que o acórdão embargado negou provimento à apelação da Fazenda Nacional, mantendo a sentença que reconheceu o direito à exclusão do ICMS, do PIS e da COFINS da base de cálculo da Contribuição Previdenciária sobre a Receita Bruta - CPRB. Todavia, na fundamentação, tratou tão somente da exclusão do ICMS da base de cálculo da CPRB, razão pela qual se verifica a ocorrência do vício apontado.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Cs w:val="24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 xml:space="preserve">5. Esta colenda Turma firmou o entendimento no sentido de que é indevida a inclusão do ICMS, do PIS e da COFINS na base de cálculo da CPRB: </w:t>
      </w:r>
      <w:r>
        <w:rPr>
          <w:rFonts w:ascii="Arial" w:eastAsia="Times New Roman" w:hAnsi="Arial" w:cs="Times New Roman"/>
          <w:i/>
          <w:iCs/>
          <w:szCs w:val="24"/>
          <w:lang w:eastAsia="pt-BR"/>
        </w:rPr>
        <w:t xml:space="preserve">“[...] Igualmente indevida a inclusão do ICMS, </w:t>
      </w:r>
      <w:r>
        <w:rPr>
          <w:rFonts w:ascii="Arial" w:eastAsia="Times New Roman" w:hAnsi="Arial" w:cs="Times New Roman"/>
          <w:i/>
          <w:szCs w:val="24"/>
          <w:lang w:eastAsia="pt-BR"/>
        </w:rPr>
        <w:t xml:space="preserve">1074 de 1227 </w:t>
      </w:r>
      <w:r>
        <w:rPr>
          <w:rFonts w:ascii="Arial" w:eastAsia="Times New Roman" w:hAnsi="Arial" w:cs="Times New Roman"/>
          <w:i/>
          <w:iCs/>
          <w:szCs w:val="24"/>
          <w:lang w:eastAsia="pt-BR"/>
        </w:rPr>
        <w:t>ISSQN, PIS e COFINS na base de cálculo da Contribuição Previdenciária Sobre a Receita Bruta (CPRB), tendo-se em vista que estas parcelas não possuem natureza de faturamento ou de receita bruta, conforme pacificado pelo egrégio Supremo Tribunal Federal</w:t>
      </w:r>
      <w:r>
        <w:rPr>
          <w:rFonts w:ascii="Arial" w:eastAsia="Times New Roman" w:hAnsi="Arial" w:cs="Times New Roman"/>
          <w:i/>
          <w:szCs w:val="24"/>
          <w:lang w:eastAsia="pt-BR"/>
        </w:rPr>
        <w:t xml:space="preserve">” (AC 0063413- 50.2013.4.01.3400, Rel. </w:t>
      </w:r>
      <w:r>
        <w:rPr>
          <w:rFonts w:ascii="Arial" w:eastAsia="Times New Roman" w:hAnsi="Arial" w:cs="Times New Roman"/>
          <w:i/>
          <w:iCs/>
          <w:szCs w:val="24"/>
          <w:lang w:eastAsia="pt-BR"/>
        </w:rPr>
        <w:t xml:space="preserve">Desembargador Federal José </w:t>
      </w:r>
      <w:proofErr w:type="spellStart"/>
      <w:r>
        <w:rPr>
          <w:rFonts w:ascii="Arial" w:eastAsia="Times New Roman" w:hAnsi="Arial" w:cs="Times New Roman"/>
          <w:i/>
          <w:iCs/>
          <w:szCs w:val="24"/>
          <w:lang w:eastAsia="pt-BR"/>
        </w:rPr>
        <w:t>Almicar</w:t>
      </w:r>
      <w:proofErr w:type="spellEnd"/>
      <w:r>
        <w:rPr>
          <w:rFonts w:ascii="Arial" w:eastAsia="Times New Roman" w:hAnsi="Arial" w:cs="Times New Roman"/>
          <w:i/>
          <w:iCs/>
          <w:szCs w:val="24"/>
          <w:lang w:eastAsia="pt-BR"/>
        </w:rPr>
        <w:t xml:space="preserve"> Machado</w:t>
      </w:r>
      <w:r>
        <w:rPr>
          <w:rFonts w:ascii="Arial" w:eastAsia="Times New Roman" w:hAnsi="Arial" w:cs="Times New Roman"/>
          <w:i/>
          <w:szCs w:val="24"/>
          <w:lang w:eastAsia="pt-BR"/>
        </w:rPr>
        <w:t xml:space="preserve">, Sétima Turma, julgado em 24/04/2018, </w:t>
      </w:r>
      <w:proofErr w:type="spellStart"/>
      <w:proofErr w:type="gramStart"/>
      <w:r>
        <w:rPr>
          <w:rFonts w:ascii="Arial" w:eastAsia="Times New Roman" w:hAnsi="Arial" w:cs="Times New Roman"/>
          <w:i/>
          <w:szCs w:val="24"/>
          <w:lang w:eastAsia="pt-BR"/>
        </w:rPr>
        <w:t>DJe</w:t>
      </w:r>
      <w:proofErr w:type="spellEnd"/>
      <w:proofErr w:type="gramEnd"/>
      <w:r>
        <w:rPr>
          <w:rFonts w:ascii="Arial" w:eastAsia="Times New Roman" w:hAnsi="Arial" w:cs="Times New Roman"/>
          <w:i/>
          <w:szCs w:val="24"/>
          <w:lang w:eastAsia="pt-BR"/>
        </w:rPr>
        <w:t xml:space="preserve"> 11/05/2018)</w:t>
      </w:r>
    </w:p>
    <w:p w:rsidR="0072592C" w:rsidRDefault="0072592C" w:rsidP="001749B3">
      <w:pPr>
        <w:pStyle w:val="Transcrio"/>
      </w:pPr>
      <w:r>
        <w:t>6. Ademais, destaca-se que, no mandado de segurança, conquanto tenha sido reconhecido o direito à compensação dos valores indevidamente recolhidos nos cinco anos anteriores à impetração (Súmula 213, STJ), também resta reconhecido que os efeitos financeiros, quando da concessão da ordem, devem retroagir à data da impetração.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 w:val="27"/>
          <w:szCs w:val="27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 xml:space="preserve">7. Embargos de declaração da Fazenda </w:t>
      </w:r>
      <w:proofErr w:type="gramStart"/>
      <w:r>
        <w:rPr>
          <w:rFonts w:ascii="Arial" w:eastAsia="Times New Roman" w:hAnsi="Arial" w:cs="Times New Roman"/>
          <w:i/>
          <w:szCs w:val="24"/>
          <w:lang w:eastAsia="pt-BR"/>
        </w:rPr>
        <w:t>Nacional não providos</w:t>
      </w:r>
      <w:proofErr w:type="gramEnd"/>
      <w:r>
        <w:rPr>
          <w:rFonts w:ascii="Arial" w:eastAsia="Times New Roman" w:hAnsi="Arial" w:cs="Times New Roman"/>
          <w:i/>
          <w:szCs w:val="24"/>
          <w:lang w:eastAsia="pt-BR"/>
        </w:rPr>
        <w:t xml:space="preserve">. Embargos de declaração da </w:t>
      </w:r>
      <w:proofErr w:type="gramStart"/>
      <w:r>
        <w:rPr>
          <w:rFonts w:ascii="Arial" w:eastAsia="Times New Roman" w:hAnsi="Arial" w:cs="Times New Roman"/>
          <w:i/>
          <w:szCs w:val="24"/>
          <w:lang w:eastAsia="pt-BR"/>
        </w:rPr>
        <w:t>impetrante parcialmente providos</w:t>
      </w:r>
      <w:proofErr w:type="gramEnd"/>
      <w:r>
        <w:rPr>
          <w:rFonts w:ascii="Arial" w:eastAsia="Times New Roman" w:hAnsi="Arial" w:cs="Times New Roman"/>
          <w:i/>
          <w:szCs w:val="24"/>
          <w:lang w:eastAsia="pt-BR"/>
        </w:rPr>
        <w:t>, com efeitos modificativos.</w:t>
      </w:r>
    </w:p>
    <w:p w:rsidR="001749B3" w:rsidRDefault="001749B3" w:rsidP="0072592C">
      <w:pPr>
        <w:spacing w:before="120" w:after="120" w:line="240" w:lineRule="auto"/>
        <w:ind w:firstLine="1418"/>
        <w:jc w:val="both"/>
        <w:rPr>
          <w:rFonts w:ascii="Arial" w:eastAsia="Times New Roman" w:hAnsi="Arial" w:cs="Times New Roman"/>
          <w:lang w:eastAsia="pt-BR"/>
        </w:rPr>
      </w:pPr>
    </w:p>
    <w:p w:rsidR="0072592C" w:rsidRDefault="0072592C" w:rsidP="001749B3">
      <w:pPr>
        <w:pStyle w:val="Pargrafo"/>
        <w:rPr>
          <w:szCs w:val="22"/>
        </w:rPr>
      </w:pPr>
      <w:r>
        <w:t xml:space="preserve">Alega a impetrante a ocorrência de omissão no julgado, vez que o acórdão deixou de considerar que: 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i/>
          <w:szCs w:val="24"/>
          <w:lang w:eastAsia="pt-BR"/>
        </w:rPr>
      </w:pPr>
      <w:r>
        <w:rPr>
          <w:rFonts w:ascii="Arial" w:eastAsia="Times New Roman" w:hAnsi="Arial" w:cs="Times New Roman"/>
          <w:i/>
          <w:szCs w:val="24"/>
          <w:lang w:eastAsia="pt-BR"/>
        </w:rPr>
        <w:t>[...]</w:t>
      </w:r>
      <w:r>
        <w:rPr>
          <w:rFonts w:ascii="Arial" w:eastAsia="Times New Roman" w:hAnsi="Arial" w:cs="Times New Roman"/>
          <w:b/>
          <w:i/>
          <w:szCs w:val="24"/>
          <w:lang w:eastAsia="pt-BR"/>
        </w:rPr>
        <w:t xml:space="preserve"> </w:t>
      </w:r>
      <w:r>
        <w:rPr>
          <w:rFonts w:ascii="Arial" w:eastAsia="Times New Roman" w:hAnsi="Arial" w:cs="Times New Roman"/>
          <w:i/>
          <w:szCs w:val="24"/>
          <w:lang w:eastAsia="pt-BR"/>
        </w:rPr>
        <w:t xml:space="preserve">a decisão judicial obtida pela Sociedade não traz em sua parte dispositiva, nem mesmo em seus fundamentos, qualquer restrição, nem identificação, </w:t>
      </w:r>
      <w:r>
        <w:rPr>
          <w:rFonts w:ascii="Arial" w:eastAsia="Times New Roman" w:hAnsi="Arial" w:cs="Times New Roman"/>
          <w:bCs/>
          <w:i/>
          <w:szCs w:val="24"/>
          <w:lang w:eastAsia="pt-BR"/>
        </w:rPr>
        <w:t>quanto ao ICMS que deve ser excluído da base de cálculo da CPRB</w:t>
      </w:r>
      <w:r>
        <w:rPr>
          <w:rFonts w:ascii="Arial" w:eastAsia="Times New Roman" w:hAnsi="Arial" w:cs="Times New Roman"/>
          <w:i/>
          <w:szCs w:val="24"/>
          <w:lang w:eastAsia="pt-BR"/>
        </w:rPr>
        <w:t>, seja para os recolhimentos futuros, seja para a apuração do crédito a ser compensado administrativamente.</w:t>
      </w:r>
    </w:p>
    <w:p w:rsidR="0072592C" w:rsidRDefault="0072592C" w:rsidP="0072592C">
      <w:pPr>
        <w:spacing w:before="60" w:after="60" w:line="240" w:lineRule="auto"/>
        <w:ind w:left="2268"/>
        <w:jc w:val="both"/>
        <w:rPr>
          <w:rFonts w:ascii="Arial" w:eastAsia="Times New Roman" w:hAnsi="Arial" w:cs="Times New Roman"/>
          <w:bCs/>
          <w:i/>
          <w:szCs w:val="24"/>
          <w:lang w:eastAsia="pt-BR"/>
        </w:rPr>
      </w:pPr>
      <w:r>
        <w:rPr>
          <w:rFonts w:ascii="Arial" w:eastAsia="Times New Roman" w:hAnsi="Arial" w:cs="Times New Roman"/>
          <w:bCs/>
          <w:i/>
          <w:szCs w:val="24"/>
          <w:lang w:eastAsia="pt-BR"/>
        </w:rPr>
        <w:t xml:space="preserve">Tal problemática torna-se evidente </w:t>
      </w:r>
      <w:proofErr w:type="gramStart"/>
      <w:r>
        <w:rPr>
          <w:rFonts w:ascii="Arial" w:eastAsia="Times New Roman" w:hAnsi="Arial" w:cs="Times New Roman"/>
          <w:bCs/>
          <w:i/>
          <w:szCs w:val="24"/>
          <w:lang w:eastAsia="pt-BR"/>
        </w:rPr>
        <w:t>à</w:t>
      </w:r>
      <w:proofErr w:type="gramEnd"/>
      <w:r>
        <w:rPr>
          <w:rFonts w:ascii="Arial" w:eastAsia="Times New Roman" w:hAnsi="Arial" w:cs="Times New Roman"/>
          <w:bCs/>
          <w:i/>
          <w:szCs w:val="24"/>
          <w:lang w:eastAsia="pt-BR"/>
        </w:rPr>
        <w:t xml:space="preserve"> partir da Solução de Consulta Interna (COSIT) nº 13 publicada em 23/10/2018, ou seja, em momento posterior aos primeiros Embargos de Declaração aviados pela Embargante (fato novo), por meio da qual a Receita Federal do Brasil </w:t>
      </w:r>
      <w:proofErr w:type="spellStart"/>
      <w:r>
        <w:rPr>
          <w:rFonts w:ascii="Arial" w:eastAsia="Times New Roman" w:hAnsi="Arial" w:cs="Times New Roman"/>
          <w:bCs/>
          <w:i/>
          <w:szCs w:val="24"/>
          <w:lang w:eastAsia="pt-BR"/>
        </w:rPr>
        <w:t>esternou</w:t>
      </w:r>
      <w:proofErr w:type="spellEnd"/>
      <w:r>
        <w:rPr>
          <w:rFonts w:ascii="Arial" w:eastAsia="Times New Roman" w:hAnsi="Arial" w:cs="Times New Roman"/>
          <w:bCs/>
          <w:i/>
          <w:szCs w:val="24"/>
          <w:lang w:eastAsia="pt-BR"/>
        </w:rPr>
        <w:t xml:space="preserve"> seu entendimento no sentido de que o ICMS que deve ser excluído da base de</w:t>
      </w:r>
      <w:r>
        <w:rPr>
          <w:rFonts w:ascii="Arial" w:eastAsia="Times New Roman" w:hAnsi="Arial" w:cs="Times New Roman"/>
          <w:i/>
          <w:szCs w:val="24"/>
          <w:lang w:eastAsia="pt-BR"/>
        </w:rPr>
        <w:t xml:space="preserve"> </w:t>
      </w:r>
      <w:r>
        <w:rPr>
          <w:rFonts w:ascii="Arial" w:eastAsia="Times New Roman" w:hAnsi="Arial" w:cs="Times New Roman"/>
          <w:bCs/>
          <w:i/>
          <w:szCs w:val="24"/>
          <w:lang w:eastAsia="pt-BR"/>
        </w:rPr>
        <w:t>cálculo do PIS e da COFINS das empresas que possuem decisão transitada em julgado favorável nesse sentido, é aquele que foi pago, e não o destacado na nota fiscal.</w:t>
      </w:r>
    </w:p>
    <w:p w:rsidR="0072592C" w:rsidRDefault="0072592C" w:rsidP="001749B3">
      <w:pPr>
        <w:pStyle w:val="Transcrio"/>
        <w:rPr>
          <w:rFonts w:cs="Arial"/>
          <w:bCs/>
          <w:color w:val="000000"/>
          <w:szCs w:val="22"/>
        </w:rPr>
      </w:pPr>
      <w:r>
        <w:t>Como esse entendimento, com a devida vênia, equivocado, também será aplicado pela Receita Federal no caso concreto na parte em que trata da exclusão do ICMS da CPRB, não restou alternativa à Embargante se não a oposição dos presentes Embargos de Declaração</w:t>
      </w:r>
      <w:r>
        <w:rPr>
          <w:b/>
          <w:bCs/>
        </w:rPr>
        <w:t xml:space="preserve">, </w:t>
      </w:r>
      <w:r>
        <w:rPr>
          <w:bCs/>
        </w:rPr>
        <w:t xml:space="preserve">com o objetivo de que conste expressamente no acórdão que o ICMS que deve ser excluído é aquele </w:t>
      </w:r>
      <w:r>
        <w:rPr>
          <w:rFonts w:cs="Arial"/>
          <w:bCs/>
          <w:color w:val="000000"/>
        </w:rPr>
        <w:t>destacado em nota.</w:t>
      </w:r>
    </w:p>
    <w:p w:rsidR="0072592C" w:rsidRDefault="0072592C" w:rsidP="0072592C">
      <w:pPr>
        <w:spacing w:before="120" w:after="12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Em suas contrarrazões, a Fazenda Nacional sustenta que: </w:t>
      </w:r>
      <w:r>
        <w:rPr>
          <w:rFonts w:ascii="Arial" w:eastAsia="Times New Roman" w:hAnsi="Arial" w:cs="Arial"/>
          <w:i/>
          <w:lang w:eastAsia="pt-BR"/>
        </w:rPr>
        <w:t xml:space="preserve">“[...] a Embargante não se conformou com os termos da decisão, contrária a seus interesses e, agora, pretende que a matéria seja reexaminada mediante a apresentação destes </w:t>
      </w:r>
      <w:proofErr w:type="spellStart"/>
      <w:r>
        <w:rPr>
          <w:rFonts w:ascii="Arial" w:eastAsia="Times New Roman" w:hAnsi="Arial" w:cs="Arial"/>
          <w:i/>
          <w:lang w:eastAsia="pt-BR"/>
        </w:rPr>
        <w:t>aclaratórios</w:t>
      </w:r>
      <w:proofErr w:type="spellEnd"/>
      <w:r>
        <w:rPr>
          <w:rFonts w:ascii="Arial" w:eastAsia="Times New Roman" w:hAnsi="Arial" w:cs="Arial"/>
          <w:i/>
          <w:lang w:eastAsia="pt-BR"/>
        </w:rPr>
        <w:t>, os quais representam meio inidôneo para reformar a decisão embargada</w:t>
      </w:r>
      <w:r>
        <w:rPr>
          <w:rFonts w:ascii="Times-Roman" w:eastAsia="Times New Roman" w:hAnsi="Times-Roman" w:cs="Times-Roman"/>
          <w:i/>
          <w:sz w:val="24"/>
          <w:szCs w:val="24"/>
          <w:lang w:eastAsia="pt-BR"/>
        </w:rPr>
        <w:t>”.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(fls. 1.201/1.203)</w:t>
      </w:r>
    </w:p>
    <w:p w:rsidR="0072592C" w:rsidRDefault="0072592C" w:rsidP="0072592C">
      <w:pPr>
        <w:spacing w:before="120" w:after="12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É o relatório.</w:t>
      </w:r>
    </w:p>
    <w:p w:rsidR="0072592C" w:rsidRDefault="0072592C" w:rsidP="001749B3">
      <w:pPr>
        <w:pStyle w:val="centralizar"/>
        <w:spacing w:before="120" w:after="120"/>
      </w:pPr>
      <w:r>
        <w:t>VOTO</w:t>
      </w:r>
    </w:p>
    <w:p w:rsidR="0072592C" w:rsidRDefault="0072592C" w:rsidP="0072592C">
      <w:pPr>
        <w:spacing w:before="120" w:after="120" w:line="240" w:lineRule="auto"/>
        <w:ind w:firstLine="1418"/>
        <w:jc w:val="both"/>
        <w:rPr>
          <w:rFonts w:ascii="Arial" w:eastAsia="Times New Roman" w:hAnsi="Arial" w:cs="Times New Roman"/>
          <w:spacing w:val="-2"/>
          <w:lang w:eastAsia="pt-BR"/>
        </w:rPr>
      </w:pPr>
      <w:r>
        <w:rPr>
          <w:rFonts w:ascii="Arial" w:eastAsia="Times New Roman" w:hAnsi="Arial" w:cs="Arial"/>
          <w:b/>
          <w:bCs/>
          <w:spacing w:val="-2"/>
          <w:lang w:eastAsia="pt-BR"/>
        </w:rPr>
        <w:t xml:space="preserve">O EXMO. </w:t>
      </w:r>
      <w:proofErr w:type="gramStart"/>
      <w:r>
        <w:rPr>
          <w:rFonts w:ascii="Arial" w:eastAsia="Times New Roman" w:hAnsi="Arial" w:cs="Arial"/>
          <w:b/>
          <w:bCs/>
          <w:spacing w:val="-2"/>
          <w:lang w:eastAsia="pt-BR"/>
        </w:rPr>
        <w:t>SR.</w:t>
      </w:r>
      <w:proofErr w:type="gramEnd"/>
      <w:r>
        <w:rPr>
          <w:rFonts w:ascii="Arial" w:eastAsia="Times New Roman" w:hAnsi="Arial" w:cs="Arial"/>
          <w:b/>
          <w:bCs/>
          <w:spacing w:val="-2"/>
          <w:lang w:eastAsia="pt-BR"/>
        </w:rPr>
        <w:t xml:space="preserve"> DESEMBARGADOR FEDERAL HERCULES FAJOSES (RELATOR):</w:t>
      </w:r>
    </w:p>
    <w:p w:rsidR="0072592C" w:rsidRDefault="0072592C" w:rsidP="001749B3">
      <w:pPr>
        <w:pStyle w:val="Pargrafo"/>
      </w:pPr>
      <w:r>
        <w:t xml:space="preserve">Os embargos de declaração, conforme prescreve o art. 1.022 do CPC, têm por finalidade sanar eventuais omissões, obscuridades ou mesmo contradições existentes em decisões judiciais, bem como corrigir erro material. </w:t>
      </w:r>
    </w:p>
    <w:p w:rsidR="0072592C" w:rsidRDefault="0072592C" w:rsidP="0072592C">
      <w:pPr>
        <w:autoSpaceDE w:val="0"/>
        <w:autoSpaceDN w:val="0"/>
        <w:adjustRightInd w:val="0"/>
        <w:spacing w:before="120" w:after="120" w:line="240" w:lineRule="auto"/>
        <w:ind w:right="1" w:firstLine="141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Destaco que esta egrégia Corte reconhece que o ICMS a ser excluído é o destacado na nota fiscal.</w:t>
      </w:r>
    </w:p>
    <w:p w:rsidR="0072592C" w:rsidRDefault="0072592C" w:rsidP="0072592C">
      <w:pPr>
        <w:autoSpaceDE w:val="0"/>
        <w:autoSpaceDN w:val="0"/>
        <w:adjustRightInd w:val="0"/>
        <w:spacing w:before="120" w:after="120" w:line="240" w:lineRule="auto"/>
        <w:ind w:right="1" w:firstLine="141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Verifico que não ficou explicitado no acórdão que o ICMS a ser excluído da base de cálculo da CPRB é o destacado na nota fiscal.</w:t>
      </w:r>
    </w:p>
    <w:p w:rsidR="0072592C" w:rsidRDefault="0072592C" w:rsidP="0072592C">
      <w:pPr>
        <w:spacing w:before="60" w:after="60" w:line="240" w:lineRule="auto"/>
        <w:ind w:right="1" w:firstLine="1418"/>
        <w:jc w:val="both"/>
        <w:rPr>
          <w:rFonts w:ascii="Arial" w:eastAsia="Times New Roman" w:hAnsi="Arial" w:cs="Arial"/>
          <w:i/>
          <w:u w:val="single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Assim, com o objetivo de sanar o vício apontado retifico o texto do voto e da ementa, acrescendo no item </w:t>
      </w:r>
      <w:proofErr w:type="gramStart"/>
      <w:r>
        <w:rPr>
          <w:rFonts w:ascii="Arial" w:eastAsia="Times New Roman" w:hAnsi="Arial" w:cs="Arial"/>
          <w:lang w:eastAsia="pt-BR"/>
        </w:rPr>
        <w:t>5</w:t>
      </w:r>
      <w:proofErr w:type="gramEnd"/>
      <w:r>
        <w:rPr>
          <w:rFonts w:ascii="Arial" w:eastAsia="Times New Roman" w:hAnsi="Arial" w:cs="Arial"/>
          <w:lang w:eastAsia="pt-BR"/>
        </w:rPr>
        <w:t xml:space="preserve"> que: </w:t>
      </w:r>
      <w:r>
        <w:rPr>
          <w:rFonts w:ascii="Arial" w:eastAsia="Times New Roman" w:hAnsi="Arial" w:cs="Arial"/>
          <w:i/>
          <w:u w:val="single"/>
          <w:lang w:eastAsia="pt-BR"/>
        </w:rPr>
        <w:t>Com base na expressa orientação firmada pelo STF, a jurisprudência desta egrégia Corte se consolidou no sentido de que o valor do ICMS a ser excluído da base de cálculo do PIS/COFINS,</w:t>
      </w:r>
      <w:r>
        <w:rPr>
          <w:rFonts w:ascii="Arial" w:eastAsia="Times New Roman" w:hAnsi="Arial" w:cs="Times New Roman"/>
          <w:szCs w:val="24"/>
          <w:u w:val="single"/>
          <w:lang w:eastAsia="pt-BR"/>
        </w:rPr>
        <w:t xml:space="preserve"> da base de cálculo da Contribuição Previdenciária sobre a Receita Bruta - CPRB</w:t>
      </w:r>
      <w:r>
        <w:rPr>
          <w:rFonts w:ascii="Arial" w:eastAsia="Times New Roman" w:hAnsi="Arial" w:cs="Arial"/>
          <w:i/>
          <w:u w:val="single"/>
          <w:lang w:eastAsia="pt-BR"/>
        </w:rPr>
        <w:t xml:space="preserve"> é o destacado na nota fiscal, e não o ICMS efetivamente pago ou arrecadado.</w:t>
      </w:r>
    </w:p>
    <w:p w:rsidR="0072592C" w:rsidRDefault="0072592C" w:rsidP="0072592C">
      <w:pPr>
        <w:autoSpaceDE w:val="0"/>
        <w:autoSpaceDN w:val="0"/>
        <w:adjustRightInd w:val="0"/>
        <w:spacing w:before="120" w:after="120" w:line="240" w:lineRule="auto"/>
        <w:ind w:right="1" w:firstLine="141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Ante o exposto, </w:t>
      </w:r>
      <w:r>
        <w:rPr>
          <w:rFonts w:ascii="Arial" w:eastAsia="Times New Roman" w:hAnsi="Arial" w:cs="Arial"/>
          <w:b/>
          <w:lang w:eastAsia="pt-BR"/>
        </w:rPr>
        <w:t xml:space="preserve">dou provimento </w:t>
      </w:r>
      <w:r>
        <w:rPr>
          <w:rFonts w:ascii="Arial" w:eastAsia="Times New Roman" w:hAnsi="Arial" w:cs="Arial"/>
          <w:lang w:eastAsia="pt-BR"/>
        </w:rPr>
        <w:t>aos embargos de declaração para explicitar que o valor do ICMS a ser excluído da base de cálculo da Contribuição Previdenciária sobre a Receita Bruta - CPRB é o destacado em fatura ou nota fiscal.</w:t>
      </w:r>
    </w:p>
    <w:p w:rsidR="0072592C" w:rsidRDefault="0072592C" w:rsidP="0072592C">
      <w:pPr>
        <w:autoSpaceDE w:val="0"/>
        <w:autoSpaceDN w:val="0"/>
        <w:adjustRightInd w:val="0"/>
        <w:spacing w:before="120" w:after="120" w:line="240" w:lineRule="auto"/>
        <w:ind w:right="-851" w:firstLine="1418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É o voto.</w:t>
      </w:r>
    </w:p>
    <w:sectPr w:rsidR="0072592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92C" w:rsidRDefault="0072592C">
      <w:r>
        <w:separator/>
      </w:r>
    </w:p>
  </w:endnote>
  <w:endnote w:type="continuationSeparator" w:id="0">
    <w:p w:rsidR="0072592C" w:rsidRDefault="00725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ab/>
    </w:r>
    <w:r w:rsidR="007A3225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7A3225">
      <w:rPr>
        <w:rFonts w:ascii="Arial" w:hAnsi="Arial"/>
        <w:sz w:val="10"/>
      </w:rPr>
      <w:fldChar w:fldCharType="separate"/>
    </w:r>
    <w:r w:rsidR="001749B3">
      <w:rPr>
        <w:rFonts w:ascii="Arial" w:hAnsi="Arial"/>
        <w:noProof/>
        <w:sz w:val="10"/>
      </w:rPr>
      <w:t>W:\Assessoria\Voto\Pautas\2020\JULGADOS\Acórdão\0006457-70.2016.4.01.3800.docx</w:t>
    </w:r>
    <w:r w:rsidR="007A3225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 w:rsidP="001749B3">
    <w:pPr>
      <w:tabs>
        <w:tab w:val="right" w:pos="9360"/>
      </w:tabs>
      <w:spacing w:after="0" w:line="240" w:lineRule="auto"/>
      <w:rPr>
        <w:rFonts w:ascii="Arial" w:hAnsi="Arial"/>
        <w:sz w:val="13"/>
      </w:rPr>
    </w:pPr>
    <w:r>
      <w:rPr>
        <w:rFonts w:ascii="Arial" w:hAnsi="Arial"/>
        <w:sz w:val="10"/>
      </w:rPr>
      <w:tab/>
    </w:r>
    <w:r w:rsidR="007A3225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7A3225">
      <w:rPr>
        <w:rFonts w:ascii="Arial" w:hAnsi="Arial"/>
        <w:sz w:val="13"/>
      </w:rPr>
      <w:fldChar w:fldCharType="separate"/>
    </w:r>
    <w:r w:rsidR="001749B3">
      <w:rPr>
        <w:rFonts w:ascii="Arial" w:hAnsi="Arial"/>
        <w:noProof/>
        <w:sz w:val="13"/>
      </w:rPr>
      <w:t>W:\Assessoria\Voto\Pautas\2020\JULGADOS\Acórdão\0006457-70.2016.4.01.3800.docx</w:t>
    </w:r>
    <w:r w:rsidR="007A3225">
      <w:rPr>
        <w:rFonts w:ascii="Arial" w:hAnsi="Arial"/>
        <w:sz w:val="13"/>
      </w:rPr>
      <w:fldChar w:fldCharType="end"/>
    </w:r>
  </w:p>
  <w:p w:rsidR="00413610" w:rsidRDefault="00413610" w:rsidP="001749B3">
    <w:pPr>
      <w:tabs>
        <w:tab w:val="right" w:pos="9360"/>
      </w:tabs>
      <w:spacing w:after="0" w:line="240" w:lineRule="auto"/>
      <w:rPr>
        <w:sz w:val="13"/>
      </w:rPr>
    </w:pPr>
    <w:r>
      <w:rPr>
        <w:rFonts w:ascii="Arial" w:hAnsi="Arial"/>
        <w:sz w:val="13"/>
      </w:rPr>
      <w:t xml:space="preserve">Criado por </w:t>
    </w:r>
    <w:r w:rsidR="007A3225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7A3225">
      <w:rPr>
        <w:rFonts w:ascii="Arial" w:hAnsi="Arial"/>
        <w:sz w:val="13"/>
      </w:rPr>
      <w:fldChar w:fldCharType="separate"/>
    </w:r>
    <w:r w:rsidR="0072592C">
      <w:rPr>
        <w:rFonts w:ascii="Arial" w:hAnsi="Arial"/>
        <w:noProof/>
        <w:sz w:val="13"/>
      </w:rPr>
      <w:t>0</w:t>
    </w:r>
    <w:r w:rsidR="007A3225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92C" w:rsidRDefault="0072592C">
      <w:r>
        <w:separator/>
      </w:r>
    </w:p>
  </w:footnote>
  <w:footnote w:type="continuationSeparator" w:id="0">
    <w:p w:rsidR="0072592C" w:rsidRDefault="007259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 w:rsidP="001749B3">
    <w:pPr>
      <w:spacing w:after="0" w:line="240" w:lineRule="auto"/>
      <w:jc w:val="both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1749B3">
    <w:pPr>
      <w:tabs>
        <w:tab w:val="right" w:pos="9540"/>
      </w:tabs>
      <w:spacing w:after="0" w:line="240" w:lineRule="auto"/>
      <w:jc w:val="both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7A3225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7A3225">
      <w:rPr>
        <w:rFonts w:ascii="Arial" w:hAnsi="Arial" w:cs="Arial"/>
        <w:bCs/>
        <w:sz w:val="16"/>
      </w:rPr>
      <w:fldChar w:fldCharType="separate"/>
    </w:r>
    <w:r w:rsidR="003562A3">
      <w:rPr>
        <w:rFonts w:ascii="Arial" w:hAnsi="Arial" w:cs="Arial"/>
        <w:bCs/>
        <w:noProof/>
        <w:sz w:val="16"/>
      </w:rPr>
      <w:t>2</w:t>
    </w:r>
    <w:r w:rsidR="007A3225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7A3225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7A3225">
      <w:rPr>
        <w:rFonts w:ascii="Arial" w:hAnsi="Arial" w:cs="Arial"/>
        <w:bCs/>
        <w:sz w:val="16"/>
      </w:rPr>
      <w:fldChar w:fldCharType="separate"/>
    </w:r>
    <w:r w:rsidR="003562A3">
      <w:rPr>
        <w:rFonts w:ascii="Arial" w:hAnsi="Arial" w:cs="Arial"/>
        <w:bCs/>
        <w:noProof/>
        <w:sz w:val="16"/>
      </w:rPr>
      <w:t>2</w:t>
    </w:r>
    <w:r w:rsidR="007A3225">
      <w:rPr>
        <w:rFonts w:ascii="Arial" w:hAnsi="Arial" w:cs="Arial"/>
        <w:bCs/>
        <w:sz w:val="16"/>
      </w:rPr>
      <w:fldChar w:fldCharType="end"/>
    </w:r>
  </w:p>
  <w:p w:rsidR="001749B3" w:rsidRDefault="001749B3" w:rsidP="001749B3">
    <w:pPr>
      <w:pStyle w:val="Identificao"/>
      <w:rPr>
        <w:rFonts w:cs="Arial"/>
        <w:bCs/>
        <w:sz w:val="16"/>
      </w:rPr>
    </w:pPr>
    <w:r w:rsidRPr="001749B3">
      <w:rPr>
        <w:szCs w:val="22"/>
      </w:rPr>
      <w:t xml:space="preserve">EMBARGOS DE DECLARAÇÃO EM EMBARGOS DE DECLARAÇÃO NA APELAÇÃO/REEXAME NECESSÁRIO N. 0006457-70.2016.4.01.3800/MG (d)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4A7" w:rsidRDefault="0072592C" w:rsidP="001749B3">
    <w:pPr>
      <w:spacing w:after="0" w:line="240" w:lineRule="auto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1749B3">
    <w:pPr>
      <w:spacing w:after="0" w:line="240" w:lineRule="auto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1749B3">
    <w:pPr>
      <w:spacing w:after="0" w:line="240" w:lineRule="auto"/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9B3"/>
    <w:rsid w:val="0015179D"/>
    <w:rsid w:val="001749B3"/>
    <w:rsid w:val="00191A8C"/>
    <w:rsid w:val="002331F7"/>
    <w:rsid w:val="003562A3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2592C"/>
    <w:rsid w:val="007A3225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2592C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7A3225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7A3225"/>
    <w:pPr>
      <w:spacing w:before="120" w:after="12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7A3225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7A3225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7A3225"/>
    <w:pPr>
      <w:ind w:left="2835"/>
    </w:pPr>
  </w:style>
  <w:style w:type="paragraph" w:customStyle="1" w:styleId="transcrio3">
    <w:name w:val="transcrição 3"/>
    <w:basedOn w:val="Identificao"/>
    <w:rsid w:val="007A3225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7A3225"/>
    <w:pPr>
      <w:ind w:left="4536"/>
    </w:pPr>
  </w:style>
  <w:style w:type="paragraph" w:customStyle="1" w:styleId="assinatura">
    <w:name w:val="assinatura"/>
    <w:basedOn w:val="Pargrafo"/>
    <w:rsid w:val="007A3225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7A3225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72592C"/>
    <w:rPr>
      <w:rFonts w:ascii="Calibri" w:hAnsi="Calibr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174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749B3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11</TotalTime>
  <Pages>2</Pages>
  <Words>918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3</cp:revision>
  <dcterms:created xsi:type="dcterms:W3CDTF">2020-11-18T16:14:00Z</dcterms:created>
  <dcterms:modified xsi:type="dcterms:W3CDTF">2020-11-24T15:43:00Z</dcterms:modified>
</cp:coreProperties>
</file>