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D54" w:rsidRDefault="00506D54" w:rsidP="00D25CC8">
      <w:pPr>
        <w:pStyle w:val="TextosemFormatao"/>
        <w:rPr>
          <w:rFonts w:ascii="Courier New" w:hAnsi="Courier New" w:cs="Courier New"/>
        </w:rPr>
      </w:pPr>
    </w:p>
    <w:p w:rsidR="00506D54" w:rsidRPr="0043178C" w:rsidRDefault="00506D54" w:rsidP="00506D54">
      <w:pPr>
        <w:pStyle w:val="Identificao"/>
      </w:pPr>
      <w:r w:rsidRPr="0043178C">
        <w:t>APELAÇÃO CÍVEL  0001651-37.2016.4.01.3300/BA</w:t>
      </w:r>
    </w:p>
    <w:p w:rsidR="00506D54" w:rsidRPr="0043178C" w:rsidRDefault="00506D54" w:rsidP="00506D54">
      <w:pPr>
        <w:pStyle w:val="Identificao"/>
      </w:pPr>
      <w:r w:rsidRPr="0043178C">
        <w:t>Processo na Origem: 16513720164013300</w:t>
      </w:r>
    </w:p>
    <w:p w:rsidR="00506D54" w:rsidRDefault="00506D54" w:rsidP="00506D5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06D54" w:rsidRPr="00D25CC8" w:rsidTr="00506D5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proofErr w:type="gramStart"/>
            <w:r w:rsidRPr="00D25CC8">
              <w:rPr>
                <w:lang w:val="pt-BR" w:eastAsia="pt-BR"/>
              </w:rPr>
              <w:t>RELATOR(</w:t>
            </w:r>
            <w:proofErr w:type="gramEnd"/>
            <w:r w:rsidRPr="00D25CC8">
              <w:rPr>
                <w:lang w:val="pt-BR" w:eastAsia="pt-BR"/>
              </w:rPr>
              <w:t>A)</w:t>
            </w:r>
          </w:p>
        </w:tc>
        <w:tc>
          <w:tcPr>
            <w:tcW w:w="3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JUIZ FEDERAL WILSON ALVES DE SOUZA</w:t>
            </w:r>
          </w:p>
        </w:tc>
      </w:tr>
      <w:tr w:rsidR="00506D54" w:rsidRPr="00D25CC8" w:rsidTr="00506D5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APELANTE</w:t>
            </w:r>
          </w:p>
        </w:tc>
        <w:tc>
          <w:tcPr>
            <w:tcW w:w="3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 xml:space="preserve">ANTONIO CARVALHO DOS SANTOS </w:t>
            </w:r>
          </w:p>
        </w:tc>
      </w:tr>
      <w:tr w:rsidR="00506D54" w:rsidRPr="00D25CC8" w:rsidTr="00506D5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ADVOGADO</w:t>
            </w:r>
          </w:p>
        </w:tc>
        <w:tc>
          <w:tcPr>
            <w:tcW w:w="3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 xml:space="preserve">BA00045136 - NIVALDINO PIRES MACHADO </w:t>
            </w:r>
          </w:p>
        </w:tc>
      </w:tr>
      <w:tr w:rsidR="00506D54" w:rsidRPr="00D25CC8" w:rsidTr="00506D5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APELADO</w:t>
            </w:r>
          </w:p>
        </w:tc>
        <w:tc>
          <w:tcPr>
            <w:tcW w:w="3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 xml:space="preserve">INSTITUTO NACIONAL DO SEGURO SOCIAL - INSS </w:t>
            </w:r>
          </w:p>
        </w:tc>
      </w:tr>
      <w:tr w:rsidR="00506D54" w:rsidRPr="00D25CC8" w:rsidTr="00506D5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PROCURADOR</w:t>
            </w:r>
          </w:p>
        </w:tc>
        <w:tc>
          <w:tcPr>
            <w:tcW w:w="3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06D54" w:rsidRPr="00D25CC8" w:rsidRDefault="00506D54" w:rsidP="00506D54">
            <w:pPr>
              <w:pStyle w:val="Identificao"/>
              <w:rPr>
                <w:lang w:val="pt-BR" w:eastAsia="pt-BR"/>
              </w:rPr>
            </w:pPr>
            <w:r w:rsidRPr="00D25CC8">
              <w:rPr>
                <w:lang w:val="pt-BR" w:eastAsia="pt-BR"/>
              </w:rPr>
              <w:t xml:space="preserve">PROCURADORIA REGIONAL FEDERAL DA 1ª REGIÃO </w:t>
            </w:r>
          </w:p>
        </w:tc>
      </w:tr>
    </w:tbl>
    <w:p w:rsidR="00506D54" w:rsidRDefault="00506D54" w:rsidP="00506D54">
      <w:pPr>
        <w:pStyle w:val="Identificao"/>
      </w:pPr>
    </w:p>
    <w:p w:rsidR="00B449B3" w:rsidRDefault="00B449B3" w:rsidP="00B449B3">
      <w:pPr>
        <w:pStyle w:val="TextosemFormatao"/>
        <w:rPr>
          <w:rFonts w:ascii="Arial" w:hAnsi="Arial" w:cs="Arial"/>
          <w:sz w:val="22"/>
          <w:szCs w:val="22"/>
        </w:rPr>
      </w:pPr>
    </w:p>
    <w:p w:rsidR="00B449B3" w:rsidRDefault="00B449B3" w:rsidP="00B449B3">
      <w:pPr>
        <w:pStyle w:val="TextosemFormatao"/>
        <w:rPr>
          <w:rFonts w:ascii="Arial" w:hAnsi="Arial" w:cs="Arial"/>
          <w:sz w:val="22"/>
          <w:szCs w:val="22"/>
        </w:rPr>
      </w:pPr>
    </w:p>
    <w:p w:rsidR="00871C75" w:rsidRDefault="00871C75" w:rsidP="00871C75">
      <w:pPr>
        <w:jc w:val="center"/>
        <w:rPr>
          <w:rFonts w:ascii="Arial" w:hAnsi="Arial" w:cs="Arial"/>
          <w:b/>
          <w:spacing w:val="20"/>
          <w:sz w:val="22"/>
          <w:szCs w:val="22"/>
        </w:rPr>
      </w:pPr>
      <w:r>
        <w:rPr>
          <w:rFonts w:ascii="Arial" w:hAnsi="Arial" w:cs="Arial"/>
          <w:b/>
          <w:spacing w:val="20"/>
          <w:sz w:val="22"/>
          <w:szCs w:val="22"/>
        </w:rPr>
        <w:t>EMENTA</w:t>
      </w:r>
    </w:p>
    <w:p w:rsidR="00871C75" w:rsidRDefault="00871C75" w:rsidP="00871C75">
      <w:pPr>
        <w:jc w:val="both"/>
        <w:rPr>
          <w:rFonts w:ascii="Arial" w:hAnsi="Arial" w:cs="Arial"/>
          <w:b/>
          <w:spacing w:val="20"/>
          <w:sz w:val="22"/>
          <w:szCs w:val="22"/>
        </w:rPr>
      </w:pPr>
    </w:p>
    <w:p w:rsidR="00871C75" w:rsidRDefault="00871C75" w:rsidP="00871C75">
      <w:pPr>
        <w:spacing w:line="360" w:lineRule="auto"/>
        <w:jc w:val="both"/>
        <w:rPr>
          <w:rFonts w:ascii="Arial" w:hAnsi="Arial" w:cs="Arial"/>
          <w:b/>
          <w:spacing w:val="20"/>
          <w:sz w:val="22"/>
          <w:szCs w:val="22"/>
        </w:rPr>
      </w:pPr>
      <w:r>
        <w:rPr>
          <w:rFonts w:ascii="Arial" w:hAnsi="Arial" w:cs="Arial"/>
          <w:b/>
          <w:spacing w:val="20"/>
          <w:sz w:val="22"/>
          <w:szCs w:val="22"/>
        </w:rPr>
        <w:t xml:space="preserve">PROCESSUAL CIVIL. APELAÇÃO CÍVEL. APOSENTADORIA ESPECIAL. OPERADOR DE GUINDASTE. PRESUNÇÃO ABSOLUTA EM FACE DO ITEM 2.3.4 DO ANEXO II, DO DECRETO 83.080/79. RUÍDO. </w:t>
      </w:r>
      <w:r w:rsidRPr="00E868CF">
        <w:rPr>
          <w:rFonts w:ascii="Arial" w:hAnsi="Arial" w:cs="Arial"/>
          <w:b/>
          <w:i/>
          <w:spacing w:val="20"/>
          <w:sz w:val="22"/>
          <w:szCs w:val="22"/>
        </w:rPr>
        <w:t>TEMPUS REGIT ACTUM</w:t>
      </w:r>
      <w:r>
        <w:rPr>
          <w:rFonts w:ascii="Arial" w:hAnsi="Arial" w:cs="Arial"/>
          <w:b/>
          <w:spacing w:val="20"/>
          <w:sz w:val="22"/>
          <w:szCs w:val="22"/>
        </w:rPr>
        <w:t>. LAUDO CONTEMPORÂNEO. DESNECESSIDADE.</w:t>
      </w:r>
    </w:p>
    <w:p w:rsidR="00871C75" w:rsidRDefault="00871C75" w:rsidP="00871C75">
      <w:pPr>
        <w:spacing w:line="360" w:lineRule="auto"/>
        <w:jc w:val="both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>1. Trata-se de apelação interposta por ANTONIO CARVALHO DOS SANTOS contra a sentença de fls. 170/173 que julgou improcedente o pedido.</w:t>
      </w:r>
    </w:p>
    <w:p w:rsidR="00871C75" w:rsidRDefault="00871C75" w:rsidP="00871C75">
      <w:pPr>
        <w:tabs>
          <w:tab w:val="left" w:pos="1701"/>
        </w:tabs>
        <w:spacing w:line="360" w:lineRule="auto"/>
        <w:jc w:val="both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 xml:space="preserve">2. Apela </w:t>
      </w:r>
      <w:proofErr w:type="gramStart"/>
      <w:r>
        <w:rPr>
          <w:rFonts w:ascii="Arial" w:hAnsi="Arial" w:cs="Arial"/>
          <w:spacing w:val="20"/>
          <w:sz w:val="22"/>
          <w:szCs w:val="22"/>
        </w:rPr>
        <w:t>a</w:t>
      </w:r>
      <w:proofErr w:type="gramEnd"/>
      <w:r>
        <w:rPr>
          <w:rFonts w:ascii="Arial" w:hAnsi="Arial" w:cs="Arial"/>
          <w:spacing w:val="20"/>
          <w:sz w:val="22"/>
          <w:szCs w:val="22"/>
        </w:rPr>
        <w:t xml:space="preserve"> parte autora pugnando pela reforma da sentença argumentando que sempre laborou submetido a condições especiais, tendo o Juizado Especial, inclusive, certificado o seu direito antes de declinar do feito para uma das varas cíveis da Seção Judiciária da Bahia.</w:t>
      </w:r>
    </w:p>
    <w:p w:rsidR="00871C75" w:rsidRDefault="00871C75" w:rsidP="00871C75">
      <w:pPr>
        <w:spacing w:line="360" w:lineRule="auto"/>
        <w:jc w:val="both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>3. Consta dos autos, às fls. 60/68, documentos previdenciários que atestam o exercício, pelo Autor, da função de operador de guindastes – opera máquinas e equipamentos em área de produção de petróleo, profissão esta enquadrada no item 2.3.4, do anexo II, do Decreto 83.080, atraindo a presunção da especialidade dos seguintes vínculos: De 14.09.1981 a 31.03.1987; De 02.05.1987 a 18.06.1993.</w:t>
      </w:r>
      <w:r w:rsidRPr="00871C75"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pacing w:val="20"/>
          <w:sz w:val="22"/>
          <w:szCs w:val="22"/>
        </w:rPr>
        <w:t>Tal lapso, ademais, restou reconhecido na seara administrativa, conforme se conclui da analise do documento de fl. 75.</w:t>
      </w:r>
    </w:p>
    <w:p w:rsidR="00871C75" w:rsidRDefault="00871C75" w:rsidP="00871C75">
      <w:pPr>
        <w:spacing w:line="360" w:lineRule="auto"/>
        <w:jc w:val="both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 xml:space="preserve">4. Quanto aos níveis de </w:t>
      </w:r>
      <w:r>
        <w:rPr>
          <w:rFonts w:ascii="Arial" w:hAnsi="Arial" w:cs="Arial"/>
          <w:bCs/>
          <w:spacing w:val="20"/>
          <w:sz w:val="22"/>
          <w:szCs w:val="22"/>
        </w:rPr>
        <w:t>ruído</w:t>
      </w:r>
      <w:r>
        <w:rPr>
          <w:rFonts w:ascii="Arial" w:hAnsi="Arial" w:cs="Arial"/>
          <w:spacing w:val="20"/>
          <w:sz w:val="22"/>
          <w:szCs w:val="22"/>
        </w:rPr>
        <w:t xml:space="preserve"> para o direito à contagem com tempo especial aplica-se o entendimento do STJ: "é considerada especial </w:t>
      </w:r>
      <w:proofErr w:type="gramStart"/>
      <w:r>
        <w:rPr>
          <w:rFonts w:ascii="Arial" w:hAnsi="Arial" w:cs="Arial"/>
          <w:spacing w:val="20"/>
          <w:sz w:val="22"/>
          <w:szCs w:val="22"/>
        </w:rPr>
        <w:t>a</w:t>
      </w:r>
      <w:proofErr w:type="gramEnd"/>
      <w:r>
        <w:rPr>
          <w:rFonts w:ascii="Arial" w:hAnsi="Arial" w:cs="Arial"/>
          <w:spacing w:val="20"/>
          <w:sz w:val="22"/>
          <w:szCs w:val="22"/>
        </w:rPr>
        <w:t xml:space="preserve"> atividade exercida com exposição a ruídos superiores a 80 decibéis, até a edição do Decreto n. 2.171/97, sendo considerado prejudicial após essa data o nível de </w:t>
      </w:r>
      <w:r>
        <w:rPr>
          <w:rFonts w:ascii="Arial" w:hAnsi="Arial" w:cs="Arial"/>
          <w:bCs/>
          <w:spacing w:val="20"/>
          <w:sz w:val="22"/>
          <w:szCs w:val="22"/>
        </w:rPr>
        <w:t>ruído</w:t>
      </w:r>
      <w:r>
        <w:rPr>
          <w:rFonts w:ascii="Arial" w:hAnsi="Arial" w:cs="Arial"/>
          <w:spacing w:val="20"/>
          <w:sz w:val="22"/>
          <w:szCs w:val="22"/>
        </w:rPr>
        <w:t xml:space="preserve"> superior a 90 decibéis. Somente, a partir da entrada em vigor do Decreto n. 4.882, em 18.11.2003, o </w:t>
      </w:r>
      <w:r>
        <w:rPr>
          <w:rFonts w:ascii="Arial" w:hAnsi="Arial" w:cs="Arial"/>
          <w:bCs/>
          <w:spacing w:val="20"/>
          <w:sz w:val="22"/>
          <w:szCs w:val="22"/>
        </w:rPr>
        <w:t>limite</w:t>
      </w:r>
      <w:r>
        <w:rPr>
          <w:rFonts w:ascii="Arial" w:hAnsi="Arial" w:cs="Arial"/>
          <w:spacing w:val="20"/>
          <w:sz w:val="22"/>
          <w:szCs w:val="22"/>
        </w:rPr>
        <w:t xml:space="preserve"> de </w:t>
      </w:r>
      <w:r>
        <w:rPr>
          <w:rFonts w:ascii="Arial" w:hAnsi="Arial" w:cs="Arial"/>
          <w:bCs/>
          <w:spacing w:val="20"/>
          <w:sz w:val="22"/>
          <w:szCs w:val="22"/>
        </w:rPr>
        <w:t>tolerância</w:t>
      </w:r>
      <w:r>
        <w:rPr>
          <w:rFonts w:ascii="Arial" w:hAnsi="Arial" w:cs="Arial"/>
          <w:spacing w:val="20"/>
          <w:sz w:val="22"/>
          <w:szCs w:val="22"/>
        </w:rPr>
        <w:t xml:space="preserve"> de </w:t>
      </w:r>
      <w:r>
        <w:rPr>
          <w:rFonts w:ascii="Arial" w:hAnsi="Arial" w:cs="Arial"/>
          <w:bCs/>
          <w:spacing w:val="20"/>
          <w:sz w:val="22"/>
          <w:szCs w:val="22"/>
        </w:rPr>
        <w:t>ruído</w:t>
      </w:r>
      <w:r>
        <w:rPr>
          <w:rFonts w:ascii="Arial" w:hAnsi="Arial" w:cs="Arial"/>
          <w:spacing w:val="20"/>
          <w:sz w:val="22"/>
          <w:szCs w:val="22"/>
        </w:rPr>
        <w:t xml:space="preserve"> ao agente físico foi reduzido a 85 decibéis. (...) Não há como atribuir retroatividade à norma regulamentadora sem </w:t>
      </w:r>
      <w:r>
        <w:rPr>
          <w:rFonts w:ascii="Arial" w:hAnsi="Arial" w:cs="Arial"/>
          <w:spacing w:val="20"/>
          <w:sz w:val="22"/>
          <w:szCs w:val="22"/>
        </w:rPr>
        <w:lastRenderedPageBreak/>
        <w:t xml:space="preserve">expressa previsão legal, sob pena de ofensa ao disposto no art. 6º da Lei de Introdução às Normas do Direito Brasileiro”. (EMEN: </w:t>
      </w:r>
      <w:r>
        <w:rPr>
          <w:rFonts w:ascii="Arial" w:hAnsi="Arial" w:cs="Arial"/>
          <w:spacing w:val="20"/>
          <w:sz w:val="22"/>
          <w:szCs w:val="22"/>
        </w:rPr>
        <w:br/>
      </w:r>
      <w:proofErr w:type="gramStart"/>
      <w:r>
        <w:rPr>
          <w:rFonts w:ascii="Arial" w:hAnsi="Arial" w:cs="Arial"/>
          <w:spacing w:val="20"/>
          <w:sz w:val="22"/>
          <w:szCs w:val="22"/>
        </w:rPr>
        <w:t>(</w:t>
      </w:r>
      <w:proofErr w:type="gramEnd"/>
      <w:r>
        <w:rPr>
          <w:rFonts w:ascii="Arial" w:hAnsi="Arial" w:cs="Arial"/>
          <w:spacing w:val="20"/>
          <w:sz w:val="22"/>
          <w:szCs w:val="22"/>
        </w:rPr>
        <w:t>AGRESP 201202318500, HUMBERTO MARTINS, STJ - SEGUNDA TURMA, DJE DATA:08/02/2013 ..DTPB:.)</w:t>
      </w:r>
    </w:p>
    <w:p w:rsidR="00871C75" w:rsidRDefault="00871C75" w:rsidP="00871C75">
      <w:pPr>
        <w:spacing w:line="360" w:lineRule="auto"/>
        <w:jc w:val="both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 xml:space="preserve">5. </w:t>
      </w:r>
      <w:r>
        <w:rPr>
          <w:rFonts w:ascii="Arial" w:hAnsi="Arial" w:cs="Arial"/>
          <w:spacing w:val="20"/>
          <w:sz w:val="22"/>
          <w:szCs w:val="22"/>
        </w:rPr>
        <w:t xml:space="preserve">Também o interregno de 21.01.1977 a 12.01.1981 merece enquadramento como especial, tendo em vista a exposição do Autor ao agente ruído acima de </w:t>
      </w:r>
      <w:proofErr w:type="gramStart"/>
      <w:r>
        <w:rPr>
          <w:rFonts w:ascii="Arial" w:hAnsi="Arial" w:cs="Arial"/>
          <w:spacing w:val="20"/>
          <w:sz w:val="22"/>
          <w:szCs w:val="22"/>
        </w:rPr>
        <w:t>80dBs</w:t>
      </w:r>
      <w:proofErr w:type="gramEnd"/>
      <w:r>
        <w:rPr>
          <w:rFonts w:ascii="Arial" w:hAnsi="Arial" w:cs="Arial"/>
          <w:spacing w:val="20"/>
          <w:sz w:val="22"/>
          <w:szCs w:val="22"/>
        </w:rPr>
        <w:t xml:space="preserve"> (fl. 67). Consta do documento de fl. 114 que o INSS indeferiu o enquadramento administrativo de referido período por entender que não é possível a admissão de PPP embasado em laudo extemporâneo.</w:t>
      </w:r>
    </w:p>
    <w:p w:rsidR="00871C75" w:rsidRDefault="00871C75" w:rsidP="00871C75">
      <w:pPr>
        <w:spacing w:line="360" w:lineRule="auto"/>
        <w:jc w:val="both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 xml:space="preserve">6. </w:t>
      </w:r>
      <w:r>
        <w:rPr>
          <w:rFonts w:ascii="Arial" w:hAnsi="Arial" w:cs="Arial"/>
          <w:spacing w:val="20"/>
          <w:sz w:val="22"/>
          <w:szCs w:val="22"/>
          <w:lang w:eastAsia="en-US"/>
        </w:rPr>
        <w:t xml:space="preserve">"O </w:t>
      </w:r>
      <w:r>
        <w:rPr>
          <w:rFonts w:ascii="Arial" w:hAnsi="Arial" w:cs="Arial"/>
          <w:bCs/>
          <w:spacing w:val="20"/>
          <w:sz w:val="22"/>
          <w:szCs w:val="22"/>
          <w:lang w:eastAsia="en-US"/>
        </w:rPr>
        <w:t>laudo</w:t>
      </w:r>
      <w:r>
        <w:rPr>
          <w:rFonts w:ascii="Arial" w:hAnsi="Arial" w:cs="Arial"/>
          <w:spacing w:val="20"/>
          <w:sz w:val="22"/>
          <w:szCs w:val="22"/>
          <w:lang w:eastAsia="en-US"/>
        </w:rPr>
        <w:t xml:space="preserve"> pericial não </w:t>
      </w:r>
      <w:r>
        <w:rPr>
          <w:rFonts w:ascii="Arial" w:hAnsi="Arial" w:cs="Arial"/>
          <w:bCs/>
          <w:spacing w:val="20"/>
          <w:sz w:val="22"/>
          <w:szCs w:val="22"/>
          <w:lang w:eastAsia="en-US"/>
        </w:rPr>
        <w:t>contemporâneo</w:t>
      </w:r>
      <w:r>
        <w:rPr>
          <w:rFonts w:ascii="Arial" w:hAnsi="Arial" w:cs="Arial"/>
          <w:spacing w:val="20"/>
          <w:sz w:val="22"/>
          <w:szCs w:val="22"/>
          <w:lang w:eastAsia="en-US"/>
        </w:rPr>
        <w:t xml:space="preserve"> ao período trabalhado é apto à comprovação da atividade do segurado" (Súmula 68 da TNU). Com efeito, "se em data posterior ao labor despendido foi constatada a presença de agentes nocivos, mesmo com as inovações tecnológicas e de medicina e segurança do trabalho que advieram com o passar do tempo, reputa-se que, à época do trabalho, a agressão dos agentes era igual, ou até maior, dada a escassez de recursos materiais existentes para atenuar sua nocividade e a evolução dos equipamentos utilizados no desempenho das tarefas" (AC 0000773-46.2002.4.01.3901 / PA, Rel. JUIZ FEDERAL MIGUEL ÂNGELO DE ALVARENGA LOPES, 3ª TURMA SUPLEMENTAR, e-DJF1 p.189 de 30/10/2012).</w:t>
      </w:r>
    </w:p>
    <w:p w:rsidR="00871C75" w:rsidRDefault="00871C75" w:rsidP="00871C75">
      <w:pPr>
        <w:spacing w:line="360" w:lineRule="auto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 xml:space="preserve">7. </w:t>
      </w:r>
      <w:r>
        <w:rPr>
          <w:rFonts w:ascii="Arial" w:hAnsi="Arial" w:cs="Arial"/>
          <w:spacing w:val="20"/>
          <w:sz w:val="22"/>
          <w:szCs w:val="22"/>
        </w:rPr>
        <w:t xml:space="preserve">Com relação ao período a partir de agosto de 2000, há que se </w:t>
      </w:r>
      <w:proofErr w:type="gramStart"/>
      <w:r>
        <w:rPr>
          <w:rFonts w:ascii="Arial" w:hAnsi="Arial" w:cs="Arial"/>
          <w:spacing w:val="20"/>
          <w:sz w:val="22"/>
          <w:szCs w:val="22"/>
        </w:rPr>
        <w:t>observar</w:t>
      </w:r>
      <w:proofErr w:type="gramEnd"/>
      <w:r>
        <w:rPr>
          <w:rFonts w:ascii="Arial" w:hAnsi="Arial" w:cs="Arial"/>
          <w:spacing w:val="20"/>
          <w:sz w:val="22"/>
          <w:szCs w:val="22"/>
        </w:rPr>
        <w:t xml:space="preserve"> os documentos juntados já nessa instância recursal às fls. 203/259. Em tais documentos, restou comprovado que ao menos nos anos de 2003, 2005, 2006, 2007, 2008, 2009 o Autor esteve exposto ao agente nocivo ruído acima de </w:t>
      </w:r>
      <w:proofErr w:type="gramStart"/>
      <w:r>
        <w:rPr>
          <w:rFonts w:ascii="Arial" w:hAnsi="Arial" w:cs="Arial"/>
          <w:spacing w:val="20"/>
          <w:sz w:val="22"/>
          <w:szCs w:val="22"/>
        </w:rPr>
        <w:t>85dBs</w:t>
      </w:r>
      <w:proofErr w:type="gramEnd"/>
    </w:p>
    <w:p w:rsidR="00871C75" w:rsidRDefault="00871C75" w:rsidP="00871C75">
      <w:pPr>
        <w:tabs>
          <w:tab w:val="left" w:pos="342"/>
        </w:tabs>
        <w:spacing w:line="360" w:lineRule="auto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color w:val="000000"/>
          <w:spacing w:val="20"/>
          <w:sz w:val="22"/>
          <w:szCs w:val="22"/>
        </w:rPr>
        <w:t xml:space="preserve">8. Apelação parcialmente provida para declarar que nos períodos de </w:t>
      </w:r>
      <w:r>
        <w:rPr>
          <w:rFonts w:ascii="Arial" w:hAnsi="Arial" w:cs="Arial"/>
          <w:spacing w:val="20"/>
          <w:sz w:val="22"/>
          <w:szCs w:val="22"/>
        </w:rPr>
        <w:t>21.01.1977 a 12.01.1981; de 14.09.1981 a 31.03.1987; de 02.05.1987 a 18.06.1993; de 18</w:t>
      </w:r>
      <w:proofErr w:type="gramStart"/>
      <w:r>
        <w:rPr>
          <w:rFonts w:ascii="Arial" w:hAnsi="Arial" w:cs="Arial"/>
          <w:spacing w:val="20"/>
          <w:sz w:val="22"/>
          <w:szCs w:val="22"/>
        </w:rPr>
        <w:t>..</w:t>
      </w:r>
      <w:proofErr w:type="gramEnd"/>
      <w:r>
        <w:rPr>
          <w:rFonts w:ascii="Arial" w:hAnsi="Arial" w:cs="Arial"/>
          <w:spacing w:val="20"/>
          <w:sz w:val="22"/>
          <w:szCs w:val="22"/>
        </w:rPr>
        <w:t>11.2003 a 02.2009 o Autor esteve submetido a condições especiais.</w:t>
      </w:r>
    </w:p>
    <w:p w:rsidR="00871C75" w:rsidRDefault="00871C75" w:rsidP="00871C75">
      <w:pPr>
        <w:pStyle w:val="PargrafodaLista"/>
        <w:spacing w:line="360" w:lineRule="auto"/>
        <w:rPr>
          <w:rFonts w:ascii="Arial" w:hAnsi="Arial" w:cs="Arial"/>
          <w:b/>
          <w:sz w:val="22"/>
          <w:szCs w:val="22"/>
        </w:rPr>
      </w:pPr>
    </w:p>
    <w:p w:rsidR="00871C75" w:rsidRDefault="00871C75" w:rsidP="00871C75">
      <w:pPr>
        <w:pStyle w:val="centralizar"/>
        <w:spacing w:before="0" w:after="0" w:line="360" w:lineRule="auto"/>
        <w:rPr>
          <w:rFonts w:cs="Arial"/>
          <w:spacing w:val="20"/>
          <w:szCs w:val="22"/>
        </w:rPr>
      </w:pPr>
      <w:r>
        <w:rPr>
          <w:rFonts w:cs="Arial"/>
          <w:spacing w:val="20"/>
          <w:szCs w:val="22"/>
        </w:rPr>
        <w:t>ACÓRDÃO</w:t>
      </w:r>
    </w:p>
    <w:p w:rsidR="00871C75" w:rsidRDefault="00871C75" w:rsidP="00871C75">
      <w:pPr>
        <w:pStyle w:val="Pargrafo"/>
        <w:spacing w:before="0" w:after="0" w:line="360" w:lineRule="auto"/>
        <w:rPr>
          <w:rFonts w:cs="Arial"/>
          <w:spacing w:val="20"/>
          <w:szCs w:val="22"/>
        </w:rPr>
      </w:pPr>
    </w:p>
    <w:p w:rsidR="00871C75" w:rsidRDefault="00871C75" w:rsidP="00871C75">
      <w:pPr>
        <w:tabs>
          <w:tab w:val="left" w:pos="342"/>
        </w:tabs>
        <w:spacing w:line="360" w:lineRule="auto"/>
        <w:jc w:val="both"/>
        <w:rPr>
          <w:rFonts w:ascii="Arial" w:hAnsi="Arial" w:cs="Arial"/>
          <w:color w:val="000000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 xml:space="preserve">Decide a Câmara Regional Previdenciária da Bahia, por unanimidade, </w:t>
      </w:r>
      <w:r>
        <w:rPr>
          <w:rFonts w:ascii="Arial" w:hAnsi="Arial" w:cs="Arial"/>
          <w:color w:val="000000"/>
          <w:spacing w:val="20"/>
          <w:sz w:val="22"/>
          <w:szCs w:val="22"/>
        </w:rPr>
        <w:t xml:space="preserve">dar parcial provimento à apelação para declarar que nos períodos de </w:t>
      </w:r>
      <w:r>
        <w:rPr>
          <w:rFonts w:ascii="Arial" w:hAnsi="Arial" w:cs="Arial"/>
          <w:spacing w:val="20"/>
          <w:sz w:val="22"/>
          <w:szCs w:val="22"/>
        </w:rPr>
        <w:t>21.01.1977 a 12.01.1981; de 14.09.1981 a 31.03.1987; de 02.05.1987 a 18.06.1993; de 18</w:t>
      </w:r>
      <w:proofErr w:type="gramStart"/>
      <w:r>
        <w:rPr>
          <w:rFonts w:ascii="Arial" w:hAnsi="Arial" w:cs="Arial"/>
          <w:spacing w:val="20"/>
          <w:sz w:val="22"/>
          <w:szCs w:val="22"/>
        </w:rPr>
        <w:t>..</w:t>
      </w:r>
      <w:proofErr w:type="gramEnd"/>
      <w:r>
        <w:rPr>
          <w:rFonts w:ascii="Arial" w:hAnsi="Arial" w:cs="Arial"/>
          <w:spacing w:val="20"/>
          <w:sz w:val="22"/>
          <w:szCs w:val="22"/>
        </w:rPr>
        <w:t>11.2003 a 02.2009 o Autor esteve submetido a condições es</w:t>
      </w:r>
      <w:r w:rsidR="00E868CF">
        <w:rPr>
          <w:rFonts w:ascii="Arial" w:hAnsi="Arial" w:cs="Arial"/>
          <w:spacing w:val="20"/>
          <w:sz w:val="22"/>
          <w:szCs w:val="22"/>
        </w:rPr>
        <w:t>peciais, nos termos do voto do R</w:t>
      </w:r>
      <w:r>
        <w:rPr>
          <w:rFonts w:ascii="Arial" w:hAnsi="Arial" w:cs="Arial"/>
          <w:spacing w:val="20"/>
          <w:sz w:val="22"/>
          <w:szCs w:val="22"/>
        </w:rPr>
        <w:t>elator.</w:t>
      </w:r>
    </w:p>
    <w:p w:rsidR="00871C75" w:rsidRDefault="00871C75" w:rsidP="00871C75">
      <w:pPr>
        <w:spacing w:line="360" w:lineRule="auto"/>
        <w:rPr>
          <w:rFonts w:ascii="Arial" w:hAnsi="Arial" w:cs="Arial"/>
          <w:spacing w:val="2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>Salvador/BA, 26 de outubro de 2018.</w:t>
      </w:r>
    </w:p>
    <w:p w:rsidR="00871C75" w:rsidRDefault="00871C75" w:rsidP="00871C75">
      <w:pPr>
        <w:spacing w:line="360" w:lineRule="auto"/>
        <w:jc w:val="center"/>
        <w:rPr>
          <w:rFonts w:ascii="Arial" w:hAnsi="Arial" w:cs="Arial"/>
          <w:b/>
          <w:spacing w:val="20"/>
          <w:sz w:val="22"/>
          <w:szCs w:val="22"/>
        </w:rPr>
      </w:pPr>
    </w:p>
    <w:p w:rsidR="00871C75" w:rsidRDefault="00871C75" w:rsidP="00871C75">
      <w:pPr>
        <w:spacing w:line="360" w:lineRule="auto"/>
        <w:jc w:val="center"/>
        <w:rPr>
          <w:rFonts w:ascii="Arial" w:hAnsi="Arial" w:cs="Arial"/>
          <w:b/>
          <w:spacing w:val="20"/>
          <w:sz w:val="22"/>
          <w:szCs w:val="22"/>
        </w:rPr>
      </w:pPr>
      <w:r>
        <w:rPr>
          <w:rFonts w:ascii="Arial" w:hAnsi="Arial" w:cs="Arial"/>
          <w:b/>
          <w:spacing w:val="20"/>
          <w:sz w:val="22"/>
          <w:szCs w:val="22"/>
        </w:rPr>
        <w:t xml:space="preserve">Juiz Federal WILSON ALVES DE SOUZA </w:t>
      </w:r>
    </w:p>
    <w:p w:rsidR="0015179D" w:rsidRPr="00506D54" w:rsidRDefault="00871C75" w:rsidP="00871C75">
      <w:pPr>
        <w:spacing w:line="360" w:lineRule="auto"/>
        <w:jc w:val="center"/>
      </w:pPr>
      <w:r>
        <w:rPr>
          <w:rFonts w:ascii="Arial" w:hAnsi="Arial" w:cs="Arial"/>
          <w:b/>
          <w:spacing w:val="20"/>
          <w:sz w:val="22"/>
          <w:szCs w:val="22"/>
        </w:rPr>
        <w:t>Relator Convocado</w:t>
      </w:r>
    </w:p>
    <w:sectPr w:rsidR="0015179D" w:rsidRPr="00506D54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8CF" w:rsidRDefault="00E868CF">
      <w:r>
        <w:separator/>
      </w:r>
    </w:p>
  </w:endnote>
  <w:endnote w:type="continuationSeparator" w:id="0">
    <w:p w:rsidR="00E868CF" w:rsidRDefault="00E86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E868CF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E868CF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E868CF">
      <w:rPr>
        <w:rFonts w:ascii="Arial" w:hAnsi="Arial"/>
        <w:noProof/>
        <w:sz w:val="13"/>
      </w:rPr>
      <w:t>ba2000057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8CF" w:rsidRDefault="00E868CF">
      <w:r>
        <w:separator/>
      </w:r>
    </w:p>
  </w:footnote>
  <w:footnote w:type="continuationSeparator" w:id="0">
    <w:p w:rsidR="00E868CF" w:rsidRDefault="00E868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68CF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E868CF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D54" w:rsidRPr="00506D54" w:rsidRDefault="00506D54" w:rsidP="00506D54">
    <w:pPr>
      <w:jc w:val="right"/>
      <w:rPr>
        <w:rFonts w:ascii="Interleaved 2of5" w:hAnsi="Interleaved 2of5"/>
        <w:sz w:val="48"/>
      </w:rPr>
    </w:pPr>
    <w:r w:rsidRPr="00506D54">
      <w:rPr>
        <w:rFonts w:ascii="Interleaved 2of5" w:hAnsi="Interleaved 2of5"/>
        <w:sz w:val="48"/>
      </w:rPr>
      <w:t>(1Ï=Ö1Î1Q0)</w:t>
    </w:r>
  </w:p>
  <w:p w:rsidR="00506D54" w:rsidRDefault="00506D54" w:rsidP="00506D54">
    <w:pPr>
      <w:spacing w:before="120"/>
      <w:rPr>
        <w:rFonts w:ascii="Arial" w:hAnsi="Arial"/>
        <w:sz w:val="16"/>
      </w:rPr>
    </w:pP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06D54"/>
    <w:rsid w:val="005E20DB"/>
    <w:rsid w:val="006779DE"/>
    <w:rsid w:val="006A4ECE"/>
    <w:rsid w:val="007A7066"/>
    <w:rsid w:val="007C3424"/>
    <w:rsid w:val="008713AE"/>
    <w:rsid w:val="00871C75"/>
    <w:rsid w:val="00872397"/>
    <w:rsid w:val="008A3D69"/>
    <w:rsid w:val="008C4395"/>
    <w:rsid w:val="0099169E"/>
    <w:rsid w:val="00B449B3"/>
    <w:rsid w:val="00C5492A"/>
    <w:rsid w:val="00D221D6"/>
    <w:rsid w:val="00D25CC8"/>
    <w:rsid w:val="00DD0AC9"/>
    <w:rsid w:val="00E850E4"/>
    <w:rsid w:val="00E868CF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49B3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pPr>
      <w:spacing w:before="120" w:after="120"/>
      <w:ind w:firstLine="1418"/>
      <w:jc w:val="both"/>
    </w:pPr>
    <w:rPr>
      <w:rFonts w:ascii="Arial" w:hAnsi="Arial"/>
      <w:sz w:val="22"/>
      <w:lang/>
    </w:rPr>
  </w:style>
  <w:style w:type="paragraph" w:customStyle="1" w:styleId="centralizar">
    <w:name w:val="centralizar"/>
    <w:basedOn w:val="Pargrafo"/>
    <w:next w:val="Pargrafo"/>
    <w:link w:val="centralizarChar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link w:val="CabealhoChar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506D5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06D54"/>
    <w:rPr>
      <w:rFonts w:ascii="Consolas" w:eastAsia="Calibri" w:hAnsi="Consolas" w:cs="Times New Roman"/>
      <w:sz w:val="21"/>
      <w:szCs w:val="21"/>
      <w:lang w:eastAsia="en-US"/>
    </w:rPr>
  </w:style>
  <w:style w:type="paragraph" w:styleId="Textodenotaderodap">
    <w:name w:val="footnote text"/>
    <w:basedOn w:val="Normal"/>
    <w:link w:val="TextodenotaderodapChar"/>
    <w:unhideWhenUsed/>
    <w:rsid w:val="00B449B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B449B3"/>
  </w:style>
  <w:style w:type="character" w:customStyle="1" w:styleId="CabealhoChar">
    <w:name w:val="Cabeçalho Char"/>
    <w:basedOn w:val="Fontepargpadro"/>
    <w:link w:val="Cabealho"/>
    <w:rsid w:val="00B449B3"/>
    <w:rPr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B449B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449B3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nhideWhenUsed/>
    <w:rsid w:val="00B449B3"/>
    <w:pPr>
      <w:spacing w:after="120" w:line="480" w:lineRule="auto"/>
      <w:ind w:left="283"/>
    </w:pPr>
    <w:rPr>
      <w:rFonts w:eastAsia="Calibri"/>
    </w:rPr>
  </w:style>
  <w:style w:type="character" w:customStyle="1" w:styleId="Recuodecorpodetexto2Char">
    <w:name w:val="Recuo de corpo de texto 2 Char"/>
    <w:basedOn w:val="Fontepargpadro"/>
    <w:link w:val="Recuodecorpodetexto2"/>
    <w:rsid w:val="00B449B3"/>
    <w:rPr>
      <w:rFonts w:eastAsia="Calibri"/>
      <w:sz w:val="24"/>
      <w:szCs w:val="24"/>
    </w:rPr>
  </w:style>
  <w:style w:type="character" w:customStyle="1" w:styleId="PargrafoChar">
    <w:name w:val="Parágrafo Char"/>
    <w:link w:val="Pargrafo"/>
    <w:locked/>
    <w:rsid w:val="00B449B3"/>
    <w:rPr>
      <w:rFonts w:ascii="Arial" w:hAnsi="Arial"/>
      <w:sz w:val="22"/>
      <w:szCs w:val="24"/>
    </w:rPr>
  </w:style>
  <w:style w:type="character" w:styleId="Refdenotaderodap">
    <w:name w:val="footnote reference"/>
    <w:unhideWhenUsed/>
    <w:rsid w:val="00B449B3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871C75"/>
    <w:pPr>
      <w:ind w:left="720"/>
      <w:contextualSpacing/>
    </w:pPr>
  </w:style>
  <w:style w:type="character" w:customStyle="1" w:styleId="centralizarChar">
    <w:name w:val="centralizar Char"/>
    <w:link w:val="centralizar"/>
    <w:locked/>
    <w:rsid w:val="00871C75"/>
    <w:rPr>
      <w:rFonts w:ascii="Arial" w:hAnsi="Arial"/>
      <w:b/>
      <w:sz w:val="22"/>
      <w:szCs w:val="24"/>
    </w:rPr>
  </w:style>
  <w:style w:type="character" w:customStyle="1" w:styleId="ementaChar">
    <w:name w:val="ementa Char"/>
    <w:basedOn w:val="Fontepargpadro"/>
    <w:link w:val="ementa"/>
    <w:locked/>
    <w:rsid w:val="00871C75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4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GABJU\C&#226;mara%20Regional%20Previdenci&#225;ria\Eive\Sess&#227;o%2026.10.2018\Apela&#231;&#245;es%20-%20remessa%20%2026.10\30%20-%20EMENTA%20AC%20ru&#237;do%20motorista%20guindaste%201651-37.2016.4.01.3300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30 - EMENTA AC ruído motorista guindaste 1651-37.2016.4.01.3300</Template>
  <TotalTime>3</TotalTime>
  <Pages>2</Pages>
  <Words>655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ba2000057</dc:creator>
  <cp:lastModifiedBy>ba2000057</cp:lastModifiedBy>
  <cp:revision>1</cp:revision>
  <cp:lastPrinted>2018-10-19T14:01:00Z</cp:lastPrinted>
  <dcterms:created xsi:type="dcterms:W3CDTF">2018-10-25T15:14:00Z</dcterms:created>
  <dcterms:modified xsi:type="dcterms:W3CDTF">2018-10-25T15:17:00Z</dcterms:modified>
</cp:coreProperties>
</file>