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882" w:rsidRDefault="005D4882" w:rsidP="00E2177B">
      <w:pPr>
        <w:pStyle w:val="TextosemFormatao"/>
        <w:rPr>
          <w:rFonts w:ascii="Courier New" w:hAnsi="Courier New" w:cs="Courier New"/>
        </w:rPr>
      </w:pPr>
    </w:p>
    <w:p w:rsidR="005D4882" w:rsidRPr="00AE565A" w:rsidRDefault="005D4882" w:rsidP="005D4882">
      <w:pPr>
        <w:pStyle w:val="Identificao"/>
        <w:rPr>
          <w:rFonts w:cs="Arial"/>
          <w:szCs w:val="22"/>
        </w:rPr>
      </w:pPr>
      <w:r w:rsidRPr="00AE565A">
        <w:rPr>
          <w:rFonts w:cs="Arial"/>
          <w:szCs w:val="22"/>
        </w:rPr>
        <w:t xml:space="preserve">Numeração Única: 474120164013300 </w:t>
      </w:r>
    </w:p>
    <w:p w:rsidR="005D4882" w:rsidRPr="00AE565A" w:rsidRDefault="005D4882" w:rsidP="005D4882">
      <w:pPr>
        <w:pStyle w:val="Identificao"/>
        <w:rPr>
          <w:rFonts w:cs="Arial"/>
          <w:szCs w:val="22"/>
        </w:rPr>
      </w:pPr>
      <w:r w:rsidRPr="00AE565A">
        <w:rPr>
          <w:rFonts w:cs="Arial"/>
          <w:szCs w:val="22"/>
        </w:rPr>
        <w:t>APELAÇÃO/REEXAME NECESSÁRIO</w:t>
      </w:r>
      <w:proofErr w:type="gramStart"/>
      <w:r w:rsidRPr="00AE565A">
        <w:rPr>
          <w:rFonts w:cs="Arial"/>
          <w:szCs w:val="22"/>
        </w:rPr>
        <w:t xml:space="preserve">  </w:t>
      </w:r>
      <w:proofErr w:type="gramEnd"/>
      <w:r w:rsidRPr="00AE565A">
        <w:rPr>
          <w:rFonts w:cs="Arial"/>
          <w:szCs w:val="22"/>
        </w:rPr>
        <w:t>0000047-41.2016.4.01.3300/BA</w:t>
      </w:r>
    </w:p>
    <w:p w:rsidR="005D4882" w:rsidRPr="00AE565A" w:rsidRDefault="005D4882" w:rsidP="005D4882">
      <w:pPr>
        <w:pStyle w:val="Identificao"/>
        <w:rPr>
          <w:rFonts w:cs="Arial"/>
          <w:szCs w:val="22"/>
        </w:rPr>
      </w:pPr>
      <w:r w:rsidRPr="00AE565A">
        <w:rPr>
          <w:rFonts w:cs="Arial"/>
          <w:szCs w:val="22"/>
        </w:rPr>
        <w:t>Processo na Origem: 474120164013300</w:t>
      </w:r>
    </w:p>
    <w:p w:rsidR="005D4882" w:rsidRPr="00AE565A" w:rsidRDefault="005D4882" w:rsidP="005D4882">
      <w:pPr>
        <w:pStyle w:val="Identificao"/>
        <w:rPr>
          <w:rFonts w:cs="Arial"/>
          <w:szCs w:val="22"/>
        </w:rPr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proofErr w:type="gramStart"/>
            <w:r w:rsidRPr="00AE565A">
              <w:rPr>
                <w:rFonts w:cs="Arial"/>
                <w:szCs w:val="22"/>
              </w:rPr>
              <w:t>RELATOR(</w:t>
            </w:r>
            <w:proofErr w:type="gramEnd"/>
            <w:r w:rsidRPr="00AE565A">
              <w:rPr>
                <w:rFonts w:cs="Arial"/>
                <w:szCs w:val="22"/>
              </w:rPr>
              <w:t>A)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JUIZ FEDERAL SAULO JOSÉ CASALI BAHIA</w:t>
            </w:r>
          </w:p>
        </w:tc>
      </w:tr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APELANTE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 xml:space="preserve">ROBERTO ROCHA FILGUEIRAS </w:t>
            </w:r>
          </w:p>
        </w:tc>
      </w:tr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ADVOGADO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 xml:space="preserve">BA00018482 - ANDREZA DE OLIVEIRA CERQUEIRA E </w:t>
            </w:r>
            <w:proofErr w:type="gramStart"/>
            <w:r w:rsidRPr="00AE565A">
              <w:rPr>
                <w:rFonts w:cs="Arial"/>
                <w:szCs w:val="22"/>
              </w:rPr>
              <w:t>OUTRO(</w:t>
            </w:r>
            <w:proofErr w:type="gramEnd"/>
            <w:r w:rsidRPr="00AE565A">
              <w:rPr>
                <w:rFonts w:cs="Arial"/>
                <w:szCs w:val="22"/>
              </w:rPr>
              <w:t>A)</w:t>
            </w:r>
          </w:p>
        </w:tc>
      </w:tr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APELANTE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 xml:space="preserve">INSTITUTO NACIONAL DO SEGURO SOCIAL - INSS </w:t>
            </w:r>
          </w:p>
        </w:tc>
      </w:tr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PROCURADOR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 xml:space="preserve">PROCURADORIA REGIONAL FEDERAL DA 1ª REGIÃO </w:t>
            </w:r>
          </w:p>
        </w:tc>
      </w:tr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APELADO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 xml:space="preserve">OS MESMOS </w:t>
            </w:r>
          </w:p>
        </w:tc>
      </w:tr>
      <w:tr w:rsidR="005D4882" w:rsidRPr="00AE565A" w:rsidTr="005D4882">
        <w:tc>
          <w:tcPr>
            <w:tcW w:w="20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REMETENTE</w:t>
            </w:r>
          </w:p>
        </w:tc>
        <w:tc>
          <w:tcPr>
            <w:tcW w:w="3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5D4882" w:rsidRPr="00AE565A" w:rsidRDefault="005D4882" w:rsidP="005D4882">
            <w:pPr>
              <w:pStyle w:val="Identificao"/>
              <w:rPr>
                <w:rFonts w:cs="Arial"/>
                <w:szCs w:val="22"/>
              </w:rPr>
            </w:pPr>
            <w:r w:rsidRPr="00AE565A">
              <w:rPr>
                <w:rFonts w:cs="Arial"/>
                <w:szCs w:val="22"/>
              </w:rPr>
              <w:t xml:space="preserve">JUIZO FEDERAL DA 14A VARA - BA </w:t>
            </w:r>
          </w:p>
        </w:tc>
      </w:tr>
    </w:tbl>
    <w:p w:rsidR="005D4882" w:rsidRPr="00AE565A" w:rsidRDefault="005D4882" w:rsidP="005D4882">
      <w:pPr>
        <w:pStyle w:val="Identificao"/>
        <w:rPr>
          <w:rFonts w:cs="Arial"/>
          <w:szCs w:val="22"/>
        </w:rPr>
      </w:pPr>
    </w:p>
    <w:p w:rsidR="00C56C52" w:rsidRPr="00AE565A" w:rsidRDefault="00C56C52" w:rsidP="00C56C52">
      <w:pPr>
        <w:pStyle w:val="Corpodetexto3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AE565A">
        <w:rPr>
          <w:rFonts w:ascii="Arial" w:hAnsi="Arial" w:cs="Arial"/>
          <w:b/>
          <w:sz w:val="22"/>
          <w:szCs w:val="22"/>
        </w:rPr>
        <w:t>E M E N T A</w:t>
      </w:r>
    </w:p>
    <w:p w:rsidR="00C56C52" w:rsidRPr="00AE565A" w:rsidRDefault="00C56C52" w:rsidP="00C56C52">
      <w:pPr>
        <w:pStyle w:val="Cabealho"/>
        <w:jc w:val="both"/>
        <w:rPr>
          <w:rFonts w:ascii="Arial" w:hAnsi="Arial" w:cs="Arial"/>
          <w:b/>
          <w:bCs/>
          <w:caps/>
          <w:sz w:val="22"/>
          <w:szCs w:val="22"/>
        </w:rPr>
      </w:pPr>
      <w:r w:rsidRPr="00AE565A">
        <w:rPr>
          <w:rFonts w:ascii="Arial" w:eastAsia="Arial Unicode MS" w:hAnsi="Arial" w:cs="Arial"/>
          <w:b/>
          <w:sz w:val="22"/>
          <w:szCs w:val="22"/>
        </w:rPr>
        <w:t xml:space="preserve">PREVIDENCIÁRIO E PROCESSUAL CIVIL. REMESSA OFICIAL NÃO CONHECIDA. PRESCRIÇÃO. </w:t>
      </w:r>
      <w:r w:rsidRPr="00AE565A">
        <w:rPr>
          <w:rFonts w:ascii="Arial" w:hAnsi="Arial" w:cs="Arial"/>
          <w:b/>
          <w:sz w:val="22"/>
          <w:szCs w:val="22"/>
        </w:rPr>
        <w:t>APOSENTADORIA POR TEMPO DE CONTRIBUIÇÃO. COMPROVAÇÃO DE ATIVIDADE ESPECIAL.</w:t>
      </w:r>
      <w:r w:rsidRPr="00AE565A">
        <w:rPr>
          <w:rFonts w:ascii="Arial" w:hAnsi="Arial" w:cs="Arial"/>
          <w:b/>
          <w:bCs/>
          <w:caps/>
          <w:sz w:val="22"/>
          <w:szCs w:val="22"/>
        </w:rPr>
        <w:t xml:space="preserve"> </w:t>
      </w:r>
      <w:r w:rsidRPr="00AE565A">
        <w:rPr>
          <w:rFonts w:ascii="Arial" w:eastAsia="MS Mincho" w:hAnsi="Arial" w:cs="Arial"/>
          <w:b/>
          <w:bCs/>
          <w:sz w:val="22"/>
          <w:szCs w:val="22"/>
        </w:rPr>
        <w:t xml:space="preserve">EXPOSIÇÃO PERMANENTE E LEI 9.032/95. USO EFICAZ DE EPI. </w:t>
      </w:r>
      <w:r w:rsidRPr="00AE565A">
        <w:rPr>
          <w:rFonts w:ascii="Arial" w:hAnsi="Arial" w:cs="Arial"/>
          <w:b/>
          <w:bCs/>
          <w:caps/>
          <w:color w:val="000000"/>
          <w:sz w:val="22"/>
          <w:szCs w:val="22"/>
        </w:rPr>
        <w:t xml:space="preserve">CORREÇÃO MONETÁRIA E JUROS MORATÓRIOS. HONORÁRIOS ADVOCATÍCIOS. </w:t>
      </w:r>
    </w:p>
    <w:p w:rsidR="00C56C52" w:rsidRPr="00AE565A" w:rsidRDefault="00C56C52" w:rsidP="00C56C52">
      <w:pPr>
        <w:pStyle w:val="ementa"/>
        <w:spacing w:before="0" w:after="0"/>
        <w:rPr>
          <w:rFonts w:cs="Arial"/>
          <w:szCs w:val="22"/>
        </w:rPr>
      </w:pPr>
      <w:r w:rsidRPr="00AE565A">
        <w:rPr>
          <w:rFonts w:cs="Arial"/>
          <w:b/>
          <w:bCs/>
          <w:caps/>
          <w:color w:val="000000"/>
          <w:szCs w:val="22"/>
        </w:rPr>
        <w:t>1</w:t>
      </w:r>
      <w:r w:rsidRPr="00AE565A">
        <w:rPr>
          <w:rFonts w:cs="Arial"/>
          <w:b/>
          <w:bCs/>
          <w:color w:val="000000"/>
          <w:szCs w:val="22"/>
        </w:rPr>
        <w:t xml:space="preserve">. </w:t>
      </w:r>
      <w:r w:rsidRPr="00AE565A">
        <w:rPr>
          <w:rFonts w:cs="Arial"/>
          <w:szCs w:val="22"/>
          <w:lang/>
        </w:rPr>
        <w:t xml:space="preserve">Hipótese que não comporta a remessa necessária, considerando que é possível verificar de plano que a condenação imposta até a data da prolação da sentença não ultrapassa o valor de </w:t>
      </w:r>
      <w:r w:rsidRPr="00AE565A">
        <w:rPr>
          <w:rFonts w:cs="Arial"/>
          <w:szCs w:val="22"/>
        </w:rPr>
        <w:t>1.000</w:t>
      </w:r>
      <w:r w:rsidRPr="00AE565A">
        <w:rPr>
          <w:rFonts w:cs="Arial"/>
          <w:szCs w:val="22"/>
          <w:lang/>
        </w:rPr>
        <w:t xml:space="preserve"> (</w:t>
      </w:r>
      <w:r w:rsidRPr="00AE565A">
        <w:rPr>
          <w:rFonts w:cs="Arial"/>
          <w:szCs w:val="22"/>
        </w:rPr>
        <w:t>mil</w:t>
      </w:r>
      <w:r w:rsidRPr="00AE565A">
        <w:rPr>
          <w:rFonts w:cs="Arial"/>
          <w:szCs w:val="22"/>
          <w:lang/>
        </w:rPr>
        <w:t>) salários mínimos</w:t>
      </w:r>
      <w:r w:rsidRPr="00AE565A">
        <w:rPr>
          <w:rFonts w:cs="Arial"/>
          <w:szCs w:val="22"/>
        </w:rPr>
        <w:t xml:space="preserve">, </w:t>
      </w:r>
      <w:r w:rsidRPr="00AE565A">
        <w:rPr>
          <w:rFonts w:cs="Arial"/>
          <w:szCs w:val="22"/>
          <w:lang/>
        </w:rPr>
        <w:t>nos termos do art. 4</w:t>
      </w:r>
      <w:r w:rsidRPr="00AE565A">
        <w:rPr>
          <w:rFonts w:cs="Arial"/>
          <w:szCs w:val="22"/>
        </w:rPr>
        <w:t>96</w:t>
      </w:r>
      <w:r w:rsidRPr="00AE565A">
        <w:rPr>
          <w:rFonts w:cs="Arial"/>
          <w:szCs w:val="22"/>
          <w:lang/>
        </w:rPr>
        <w:t xml:space="preserve">, </w:t>
      </w:r>
      <w:r w:rsidRPr="00AE565A">
        <w:rPr>
          <w:rFonts w:cs="Arial"/>
          <w:szCs w:val="22"/>
        </w:rPr>
        <w:t xml:space="preserve">§3º, </w:t>
      </w:r>
      <w:r w:rsidRPr="00AE565A">
        <w:rPr>
          <w:rFonts w:cs="Arial"/>
          <w:szCs w:val="22"/>
          <w:lang/>
        </w:rPr>
        <w:t>I do CPC/</w:t>
      </w:r>
      <w:r w:rsidRPr="00AE565A">
        <w:rPr>
          <w:rFonts w:cs="Arial"/>
          <w:szCs w:val="22"/>
        </w:rPr>
        <w:t>15</w:t>
      </w:r>
      <w:r w:rsidRPr="00AE565A">
        <w:rPr>
          <w:rFonts w:cs="Arial"/>
          <w:szCs w:val="22"/>
          <w:lang/>
        </w:rPr>
        <w:t xml:space="preserve">, </w:t>
      </w:r>
      <w:r w:rsidRPr="00AE565A">
        <w:rPr>
          <w:rFonts w:cs="Arial"/>
          <w:szCs w:val="22"/>
        </w:rPr>
        <w:t>vigente à ocasião da prolação da sentença</w:t>
      </w:r>
      <w:r w:rsidRPr="00AE565A">
        <w:rPr>
          <w:rFonts w:cs="Arial"/>
          <w:szCs w:val="22"/>
          <w:lang/>
        </w:rPr>
        <w:t>.</w:t>
      </w:r>
    </w:p>
    <w:p w:rsidR="00C56C52" w:rsidRPr="00AE565A" w:rsidRDefault="00C56C52" w:rsidP="00C56C52">
      <w:pPr>
        <w:pStyle w:val="ementa"/>
        <w:spacing w:before="0" w:after="0"/>
        <w:rPr>
          <w:rFonts w:cs="Arial"/>
          <w:szCs w:val="22"/>
        </w:rPr>
      </w:pPr>
      <w:r w:rsidRPr="00AE565A">
        <w:rPr>
          <w:rFonts w:cs="Arial"/>
          <w:b/>
          <w:bCs/>
          <w:caps/>
          <w:szCs w:val="22"/>
        </w:rPr>
        <w:t>2.</w:t>
      </w:r>
      <w:r w:rsidRPr="00AE565A">
        <w:rPr>
          <w:rFonts w:cs="Arial"/>
          <w:szCs w:val="22"/>
        </w:rPr>
        <w:t xml:space="preserve"> Interrompe-se o prazo prescricional na fluência do processo administrativo, de sua propositura e até a comprovada data de ciência da respectiva decisão. Assim, são reconhecidas como prescritas apenas as parcelas vencidas no quinquênio anterior ao requerimento administrativo formulado pela parte autora.</w:t>
      </w:r>
    </w:p>
    <w:p w:rsidR="00C56C52" w:rsidRPr="00AE565A" w:rsidRDefault="00C56C52" w:rsidP="00C56C52">
      <w:pPr>
        <w:pStyle w:val="Cabealho"/>
        <w:widowControl w:val="0"/>
        <w:jc w:val="both"/>
        <w:rPr>
          <w:rFonts w:ascii="Arial" w:hAnsi="Arial" w:cs="Arial"/>
          <w:bCs/>
          <w:sz w:val="22"/>
          <w:szCs w:val="22"/>
        </w:rPr>
      </w:pPr>
      <w:r w:rsidRPr="00AE565A">
        <w:rPr>
          <w:rFonts w:ascii="Arial" w:eastAsia="MS Mincho" w:hAnsi="Arial" w:cs="Arial"/>
          <w:b/>
          <w:bCs/>
          <w:color w:val="000000"/>
          <w:sz w:val="22"/>
          <w:szCs w:val="22"/>
        </w:rPr>
        <w:t>3.</w:t>
      </w:r>
      <w:r w:rsidRPr="00AE565A">
        <w:rPr>
          <w:rFonts w:ascii="Arial" w:eastAsia="MS Mincho" w:hAnsi="Arial" w:cs="Arial"/>
          <w:bCs/>
          <w:color w:val="000000"/>
          <w:sz w:val="22"/>
          <w:szCs w:val="22"/>
        </w:rPr>
        <w:t xml:space="preserve"> </w:t>
      </w:r>
      <w:r w:rsidRPr="00AE565A">
        <w:rPr>
          <w:rFonts w:ascii="Arial" w:hAnsi="Arial" w:cs="Arial"/>
          <w:sz w:val="22"/>
          <w:szCs w:val="22"/>
        </w:rPr>
        <w:t>As condições especiais de trabalho demonstram-se: a) até 28/04/1995 (dia anterior à vigência da Lei nº 9.032/95), pelo enquadramento profissional, ou mediante formulários da própria empresa ou laudos técnicos; b) a partir de 29/04/1995, por formulários próprios (SB-40 e DSS-8030, padronizados pelo INSS), preenchidos pela empresa, ou mediante laudo (todavia, n</w:t>
      </w:r>
      <w:r w:rsidRPr="00AE565A">
        <w:rPr>
          <w:rFonts w:ascii="Arial" w:eastAsia="MS Mincho" w:hAnsi="Arial" w:cs="Arial"/>
          <w:bCs/>
          <w:sz w:val="22"/>
          <w:szCs w:val="22"/>
        </w:rPr>
        <w:t>o caso do engenheiro civil e do engenheiro eletricista, a sistemática anterior persistiu até 11/10/96, quando foi revogada a Lei 5.527/68 pela MP 1.523/96)</w:t>
      </w:r>
      <w:r w:rsidRPr="00AE565A">
        <w:rPr>
          <w:rFonts w:ascii="Arial" w:hAnsi="Arial" w:cs="Arial"/>
          <w:sz w:val="22"/>
          <w:szCs w:val="22"/>
        </w:rPr>
        <w:t xml:space="preserve">; c) a partir da vigência do Decreto nº 2.172/97, publicado em 06/03/1997, por Laudo Técnico de Condições Ambientais do Trabalho (LTCAT), expedido por médico do trabalho ou engenheiro de segurança do trabalho, devendo as empresas, desde então, elaborar e manter Perfil </w:t>
      </w:r>
      <w:proofErr w:type="spellStart"/>
      <w:r w:rsidRPr="00AE565A">
        <w:rPr>
          <w:rFonts w:ascii="Arial" w:hAnsi="Arial" w:cs="Arial"/>
          <w:sz w:val="22"/>
          <w:szCs w:val="22"/>
        </w:rPr>
        <w:t>Profissiográfico</w:t>
      </w:r>
      <w:proofErr w:type="spellEnd"/>
      <w:r w:rsidRPr="00AE565A">
        <w:rPr>
          <w:rFonts w:ascii="Arial" w:hAnsi="Arial" w:cs="Arial"/>
          <w:sz w:val="22"/>
          <w:szCs w:val="22"/>
        </w:rPr>
        <w:t xml:space="preserve"> Previdenciário (PPP) das atividades desenvolvidas pelos trabalhadores. D</w:t>
      </w:r>
      <w:r w:rsidRPr="00AE565A">
        <w:rPr>
          <w:rFonts w:ascii="Arial" w:eastAsia="MS Mincho" w:hAnsi="Arial" w:cs="Arial"/>
          <w:bCs/>
          <w:sz w:val="22"/>
          <w:szCs w:val="22"/>
        </w:rPr>
        <w:t xml:space="preserve">e qualquer modo, mesmo após 06/03/1997 </w:t>
      </w:r>
      <w:r w:rsidRPr="00AE565A">
        <w:rPr>
          <w:rFonts w:ascii="Arial" w:hAnsi="Arial" w:cs="Arial"/>
          <w:bCs/>
          <w:sz w:val="22"/>
          <w:szCs w:val="22"/>
        </w:rPr>
        <w:t>tem a jurisprudência reconhecido que o formulário PPP, desde que subscrito por engenheiro ou perito responsável pela avaliação das condições de trabalho, pode ser utilizado como prova de trabalho prestado sob condições especiais (vide STF</w:t>
      </w:r>
      <w:proofErr w:type="gramStart"/>
      <w:r w:rsidRPr="00AE565A">
        <w:rPr>
          <w:rFonts w:ascii="Arial" w:hAnsi="Arial" w:cs="Arial"/>
          <w:bCs/>
          <w:sz w:val="22"/>
          <w:szCs w:val="22"/>
        </w:rPr>
        <w:t>, ARE</w:t>
      </w:r>
      <w:proofErr w:type="gramEnd"/>
      <w:r w:rsidRPr="00AE565A">
        <w:rPr>
          <w:rFonts w:ascii="Arial" w:hAnsi="Arial" w:cs="Arial"/>
          <w:bCs/>
          <w:sz w:val="22"/>
          <w:szCs w:val="22"/>
        </w:rPr>
        <w:t xml:space="preserve"> 664335, e TNU, </w:t>
      </w:r>
      <w:r w:rsidRPr="00AE565A">
        <w:rPr>
          <w:rFonts w:ascii="Arial" w:hAnsi="Arial" w:cs="Arial"/>
          <w:sz w:val="22"/>
          <w:szCs w:val="22"/>
        </w:rPr>
        <w:t>PEDILEF 50379486820124047000</w:t>
      </w:r>
      <w:r w:rsidRPr="00AE565A">
        <w:rPr>
          <w:rFonts w:ascii="Arial" w:hAnsi="Arial" w:cs="Arial"/>
          <w:bCs/>
          <w:sz w:val="22"/>
          <w:szCs w:val="22"/>
        </w:rPr>
        <w:t>).</w:t>
      </w:r>
    </w:p>
    <w:p w:rsidR="00C56C52" w:rsidRPr="00AE565A" w:rsidRDefault="00C56C52" w:rsidP="00C56C52">
      <w:pPr>
        <w:pStyle w:val="Cabealho"/>
        <w:widowControl w:val="0"/>
        <w:jc w:val="both"/>
        <w:rPr>
          <w:rFonts w:ascii="Arial" w:eastAsia="MS Mincho" w:hAnsi="Arial" w:cs="Arial"/>
          <w:bCs/>
          <w:sz w:val="22"/>
          <w:szCs w:val="22"/>
        </w:rPr>
      </w:pPr>
      <w:r w:rsidRPr="00AE565A">
        <w:rPr>
          <w:rFonts w:ascii="Arial" w:eastAsia="MS Mincho" w:hAnsi="Arial" w:cs="Arial"/>
          <w:b/>
          <w:bCs/>
          <w:color w:val="000000"/>
          <w:sz w:val="22"/>
          <w:szCs w:val="22"/>
        </w:rPr>
        <w:t>4.</w:t>
      </w:r>
      <w:r w:rsidRPr="00AE565A">
        <w:rPr>
          <w:rFonts w:ascii="Arial" w:eastAsia="MS Mincho" w:hAnsi="Arial" w:cs="Arial"/>
          <w:bCs/>
          <w:color w:val="000000"/>
          <w:sz w:val="22"/>
          <w:szCs w:val="22"/>
        </w:rPr>
        <w:t xml:space="preserve"> </w:t>
      </w:r>
      <w:r w:rsidRPr="00AE565A">
        <w:rPr>
          <w:rFonts w:ascii="Arial" w:eastAsia="MS Mincho" w:hAnsi="Arial" w:cs="Arial"/>
          <w:bCs/>
          <w:sz w:val="22"/>
          <w:szCs w:val="22"/>
        </w:rPr>
        <w:t>O Enunciado AGU nº 29/2008 (“</w:t>
      </w:r>
      <w:r w:rsidRPr="00AE565A">
        <w:rPr>
          <w:rFonts w:ascii="Arial" w:eastAsia="MS Mincho" w:hAnsi="Arial" w:cs="Arial"/>
          <w:bCs/>
          <w:i/>
          <w:sz w:val="22"/>
          <w:szCs w:val="22"/>
        </w:rPr>
        <w:t>Atendidas as demais condições legais, considera-se especial, no âmbito do RGPS, a atividade exercida com exposição a ruído superior a 80 decibéis até 05/03/97, superior a 90 decibéis desta data até 18/11/2003, e superior a 85 decibéis a partir de então</w:t>
      </w:r>
      <w:r w:rsidRPr="00AE565A">
        <w:rPr>
          <w:rFonts w:ascii="Arial" w:eastAsia="MS Mincho" w:hAnsi="Arial" w:cs="Arial"/>
          <w:bCs/>
          <w:sz w:val="22"/>
          <w:szCs w:val="22"/>
        </w:rPr>
        <w:t xml:space="preserve">”), resultante da jurisprudência firmada sobre o tema, evidencia a possibilidade de contagem </w:t>
      </w:r>
      <w:r w:rsidRPr="00AE565A">
        <w:rPr>
          <w:rFonts w:ascii="Arial" w:eastAsia="MS Mincho" w:hAnsi="Arial" w:cs="Arial"/>
          <w:bCs/>
          <w:sz w:val="22"/>
          <w:szCs w:val="22"/>
        </w:rPr>
        <w:lastRenderedPageBreak/>
        <w:t xml:space="preserve">como tempo especial daquele submetido ao agente “ruído”, com níveis superiores a 80 </w:t>
      </w:r>
      <w:proofErr w:type="gramStart"/>
      <w:r w:rsidRPr="00AE565A">
        <w:rPr>
          <w:rFonts w:ascii="Arial" w:eastAsia="MS Mincho" w:hAnsi="Arial" w:cs="Arial"/>
          <w:bCs/>
          <w:sz w:val="22"/>
          <w:szCs w:val="22"/>
        </w:rPr>
        <w:t>dB</w:t>
      </w:r>
      <w:proofErr w:type="gramEnd"/>
      <w:r w:rsidRPr="00AE565A">
        <w:rPr>
          <w:rFonts w:ascii="Arial" w:eastAsia="MS Mincho" w:hAnsi="Arial" w:cs="Arial"/>
          <w:bCs/>
          <w:sz w:val="22"/>
          <w:szCs w:val="22"/>
        </w:rPr>
        <w:t xml:space="preserve">, até 05/03/97, com a entrada em vigor do Decreto 2.172, que revogou expressamente o Decreto 611/92, e passou a exigir limite acima de 90 dB(A) para configurar o agente agressivo. A partir de 19/11/2003, incide o limite de 85 </w:t>
      </w:r>
      <w:proofErr w:type="gramStart"/>
      <w:r w:rsidRPr="00AE565A">
        <w:rPr>
          <w:rFonts w:ascii="Arial" w:eastAsia="MS Mincho" w:hAnsi="Arial" w:cs="Arial"/>
          <w:bCs/>
          <w:sz w:val="22"/>
          <w:szCs w:val="22"/>
        </w:rPr>
        <w:t>dB</w:t>
      </w:r>
      <w:proofErr w:type="gramEnd"/>
      <w:r w:rsidRPr="00AE565A">
        <w:rPr>
          <w:rFonts w:ascii="Arial" w:eastAsia="MS Mincho" w:hAnsi="Arial" w:cs="Arial"/>
          <w:bCs/>
          <w:sz w:val="22"/>
          <w:szCs w:val="22"/>
        </w:rPr>
        <w:t>, por força da edição do Decreto nº 4.882, pelo qual a administração pública reconheceu e declarou a nocividade à saúde do trabalhador exposto a níveis superiores a 85 dB(A).</w:t>
      </w:r>
    </w:p>
    <w:p w:rsidR="00C56C52" w:rsidRPr="00AE565A" w:rsidRDefault="00C56C52" w:rsidP="00C56C52">
      <w:pPr>
        <w:pStyle w:val="Cabealho"/>
        <w:widowControl w:val="0"/>
        <w:jc w:val="both"/>
        <w:rPr>
          <w:rFonts w:ascii="Arial" w:eastAsia="MS Mincho" w:hAnsi="Arial" w:cs="Arial"/>
          <w:bCs/>
          <w:sz w:val="22"/>
          <w:szCs w:val="22"/>
        </w:rPr>
      </w:pPr>
      <w:r w:rsidRPr="00AE565A">
        <w:rPr>
          <w:rFonts w:ascii="Arial" w:eastAsia="MS Mincho" w:hAnsi="Arial" w:cs="Arial"/>
          <w:b/>
          <w:bCs/>
          <w:sz w:val="22"/>
          <w:szCs w:val="22"/>
        </w:rPr>
        <w:t xml:space="preserve">5. </w:t>
      </w:r>
      <w:r w:rsidRPr="00AE565A">
        <w:rPr>
          <w:rFonts w:ascii="Arial" w:eastAsia="MS Mincho" w:hAnsi="Arial" w:cs="Arial"/>
          <w:bCs/>
          <w:sz w:val="22"/>
          <w:szCs w:val="22"/>
        </w:rPr>
        <w:t xml:space="preserve">No que tange à apelação da autarquia previdenciária, o PPP (fls. 80) e laudo técnico (fls. 11, 82 e 103) revelam que, no período questionado, o autor laborou junto à empresa Real Sociedade Espanhola de </w:t>
      </w:r>
      <w:proofErr w:type="spellStart"/>
      <w:r w:rsidRPr="00AE565A">
        <w:rPr>
          <w:rFonts w:ascii="Arial" w:eastAsia="MS Mincho" w:hAnsi="Arial" w:cs="Arial"/>
          <w:bCs/>
          <w:sz w:val="22"/>
          <w:szCs w:val="22"/>
        </w:rPr>
        <w:t>Beneficencia</w:t>
      </w:r>
      <w:proofErr w:type="spellEnd"/>
      <w:r w:rsidRPr="00AE565A">
        <w:rPr>
          <w:rFonts w:ascii="Arial" w:eastAsia="MS Mincho" w:hAnsi="Arial" w:cs="Arial"/>
          <w:bCs/>
          <w:sz w:val="22"/>
          <w:szCs w:val="22"/>
        </w:rPr>
        <w:t>, na função de “supervisor de controle do imobilizado”, exercendo atividades de</w:t>
      </w:r>
      <w:r w:rsidRPr="00AE565A">
        <w:rPr>
          <w:rFonts w:ascii="Arial" w:hAnsi="Arial" w:cs="Arial"/>
          <w:color w:val="000000"/>
          <w:sz w:val="22"/>
          <w:szCs w:val="22"/>
        </w:rPr>
        <w:t xml:space="preserve"> </w:t>
      </w:r>
      <w:r w:rsidRPr="00AE565A">
        <w:rPr>
          <w:rFonts w:ascii="Arial" w:hAnsi="Arial" w:cs="Arial"/>
          <w:i/>
          <w:color w:val="000000"/>
          <w:sz w:val="22"/>
          <w:szCs w:val="22"/>
        </w:rPr>
        <w:t xml:space="preserve">“serviços de manutenção de equipamentos hospitalares, tais como: estetoscópios, </w:t>
      </w:r>
      <w:proofErr w:type="spellStart"/>
      <w:r w:rsidRPr="00AE565A">
        <w:rPr>
          <w:rFonts w:ascii="Arial" w:hAnsi="Arial" w:cs="Arial"/>
          <w:i/>
          <w:color w:val="000000"/>
          <w:sz w:val="22"/>
          <w:szCs w:val="22"/>
        </w:rPr>
        <w:t>tensiômetros</w:t>
      </w:r>
      <w:proofErr w:type="spellEnd"/>
      <w:r w:rsidRPr="00AE565A">
        <w:rPr>
          <w:rFonts w:ascii="Arial" w:hAnsi="Arial" w:cs="Arial"/>
          <w:i/>
          <w:color w:val="000000"/>
          <w:sz w:val="22"/>
          <w:szCs w:val="22"/>
        </w:rPr>
        <w:t xml:space="preserve">, instrumental cirúrgico, autoclaves, respiradores, incubadoras e outros, na execução das atividades mantinha contrato permanente com equipamentos utilizados em pacientes internados, portadores de doenças de diversas etiologias bem como objetos e utensílios de uso desses pacientes, não previamente </w:t>
      </w:r>
      <w:proofErr w:type="spellStart"/>
      <w:r w:rsidRPr="00AE565A">
        <w:rPr>
          <w:rFonts w:ascii="Arial" w:hAnsi="Arial" w:cs="Arial"/>
          <w:i/>
          <w:color w:val="000000"/>
          <w:sz w:val="22"/>
          <w:szCs w:val="22"/>
        </w:rPr>
        <w:t>esterelizados</w:t>
      </w:r>
      <w:proofErr w:type="spellEnd"/>
      <w:r w:rsidRPr="00AE565A">
        <w:rPr>
          <w:rFonts w:ascii="Arial" w:hAnsi="Arial" w:cs="Arial"/>
          <w:i/>
          <w:color w:val="000000"/>
          <w:sz w:val="22"/>
          <w:szCs w:val="22"/>
        </w:rPr>
        <w:t xml:space="preserve">; frequentemente os aparelhos vinham impregnados com sangue e secreções expelidas pelos pacientes, </w:t>
      </w:r>
      <w:r w:rsidRPr="00AE565A">
        <w:rPr>
          <w:rFonts w:ascii="Arial" w:eastAsia="MS Mincho" w:hAnsi="Arial" w:cs="Arial"/>
          <w:bCs/>
          <w:sz w:val="22"/>
          <w:szCs w:val="22"/>
        </w:rPr>
        <w:t>com exposição a agentes nocivos biológicos – h</w:t>
      </w:r>
      <w:r w:rsidRPr="00AE565A">
        <w:rPr>
          <w:rFonts w:ascii="Arial" w:hAnsi="Arial" w:cs="Arial"/>
          <w:color w:val="000000"/>
          <w:sz w:val="22"/>
          <w:szCs w:val="22"/>
        </w:rPr>
        <w:t xml:space="preserve">erpes </w:t>
      </w:r>
      <w:proofErr w:type="spellStart"/>
      <w:r w:rsidRPr="00AE565A">
        <w:rPr>
          <w:rFonts w:ascii="Arial" w:hAnsi="Arial" w:cs="Arial"/>
          <w:color w:val="000000"/>
          <w:sz w:val="22"/>
          <w:szCs w:val="22"/>
        </w:rPr>
        <w:t>zooster</w:t>
      </w:r>
      <w:proofErr w:type="spellEnd"/>
      <w:r w:rsidRPr="00AE565A">
        <w:rPr>
          <w:rFonts w:ascii="Arial" w:hAnsi="Arial" w:cs="Arial"/>
          <w:color w:val="000000"/>
          <w:sz w:val="22"/>
          <w:szCs w:val="22"/>
        </w:rPr>
        <w:t xml:space="preserve">, tuberculose, hepatite, HIV, bactérias, fungos e outros. Ademais, diversamente do alegado pelo recorrente, consta no laudo que a exposição se dava de forma habitual e permanente, não eventual nem intermitente e, consoante já consignado nesta peça, </w:t>
      </w:r>
      <w:proofErr w:type="gramStart"/>
      <w:r w:rsidRPr="00AE565A">
        <w:rPr>
          <w:rFonts w:ascii="Arial" w:eastAsia="MS Mincho" w:hAnsi="Arial" w:cs="Arial"/>
          <w:bCs/>
          <w:sz w:val="22"/>
          <w:szCs w:val="22"/>
        </w:rPr>
        <w:t>a</w:t>
      </w:r>
      <w:proofErr w:type="gramEnd"/>
      <w:r w:rsidRPr="00AE565A">
        <w:rPr>
          <w:rFonts w:ascii="Arial" w:eastAsia="MS Mincho" w:hAnsi="Arial" w:cs="Arial"/>
          <w:bCs/>
          <w:sz w:val="22"/>
          <w:szCs w:val="22"/>
        </w:rPr>
        <w:t xml:space="preserve"> constatação do caráter </w:t>
      </w:r>
      <w:r w:rsidRPr="00AE565A">
        <w:rPr>
          <w:rFonts w:ascii="Arial" w:hAnsi="Arial" w:cs="Arial"/>
          <w:sz w:val="22"/>
          <w:szCs w:val="22"/>
        </w:rPr>
        <w:t xml:space="preserve">permanente da atividade especial não exige que o trabalho desempenhado pelo segurado esteja ininterruptamente submetido a um risco para a sua incolumidade. </w:t>
      </w:r>
      <w:r w:rsidRPr="00AE565A">
        <w:rPr>
          <w:rFonts w:ascii="Arial" w:hAnsi="Arial" w:cs="Arial"/>
          <w:color w:val="000000"/>
          <w:sz w:val="22"/>
          <w:szCs w:val="22"/>
        </w:rPr>
        <w:t xml:space="preserve">Registre-se, ainda, que inobstante a utilização de equipamentos de proteção individual fornecidos pela empresa, consta dos referidos laudos que </w:t>
      </w:r>
      <w:r w:rsidRPr="00AE565A">
        <w:rPr>
          <w:rFonts w:ascii="Arial" w:hAnsi="Arial" w:cs="Arial"/>
          <w:i/>
          <w:color w:val="000000"/>
          <w:sz w:val="22"/>
          <w:szCs w:val="22"/>
        </w:rPr>
        <w:t>“não são suficientes para eliminar os riscos de contaminação biológica em sua totalidade, seja por deficiência ou desgaste dos equipamentos de proteção”</w:t>
      </w:r>
      <w:r w:rsidRPr="00AE565A">
        <w:rPr>
          <w:rFonts w:ascii="Arial" w:hAnsi="Arial" w:cs="Arial"/>
          <w:color w:val="000000"/>
          <w:sz w:val="22"/>
          <w:szCs w:val="22"/>
        </w:rPr>
        <w:t xml:space="preserve"> (item 9 – fls.11v). Assim sendo, faz jus a parte autora ao enquadramento do tempo de serviço prestado no período de </w:t>
      </w:r>
      <w:r w:rsidRPr="00AE565A">
        <w:rPr>
          <w:rFonts w:ascii="Arial" w:eastAsia="MS Mincho" w:hAnsi="Arial" w:cs="Arial"/>
          <w:bCs/>
          <w:sz w:val="22"/>
          <w:szCs w:val="22"/>
        </w:rPr>
        <w:t xml:space="preserve">01/03/85 a 01/04/95 como atividade especial, ante a exposição a agentes nocivos (item 1.3.4 do Anexo I do Decreto n. 83.080/79 e item 1.3.2 do Decreto n. 53.831/64). </w:t>
      </w:r>
    </w:p>
    <w:p w:rsidR="00C56C52" w:rsidRPr="00AE565A" w:rsidRDefault="00C56C52" w:rsidP="00C56C52">
      <w:pPr>
        <w:pStyle w:val="Cabealho"/>
        <w:widowControl w:val="0"/>
        <w:jc w:val="both"/>
        <w:rPr>
          <w:rFonts w:ascii="Arial" w:hAnsi="Arial" w:cs="Arial"/>
          <w:sz w:val="22"/>
          <w:szCs w:val="22"/>
        </w:rPr>
      </w:pPr>
      <w:r w:rsidRPr="00AE565A">
        <w:rPr>
          <w:rFonts w:ascii="Arial" w:eastAsia="MS Mincho" w:hAnsi="Arial" w:cs="Arial"/>
          <w:b/>
          <w:bCs/>
          <w:sz w:val="22"/>
          <w:szCs w:val="22"/>
        </w:rPr>
        <w:t>6.</w:t>
      </w:r>
      <w:r w:rsidRPr="00AE565A">
        <w:rPr>
          <w:rFonts w:ascii="Arial" w:eastAsia="MS Mincho" w:hAnsi="Arial" w:cs="Arial"/>
          <w:sz w:val="22"/>
          <w:szCs w:val="22"/>
        </w:rPr>
        <w:t xml:space="preserve"> “Não devem receber interpretação retroativa as alterações promovidas no Art. 57, da Lei nº 8.213/91 pela Lei nº 9.032/95, especialmente a regra estabelecida pelo parágrafo terceiro do referido art. 57, que introduziu a exigência do caráter permanente, não ocasional nem intermitente do labor em condições especiais.”</w:t>
      </w:r>
      <w:r w:rsidRPr="00AE565A">
        <w:rPr>
          <w:rFonts w:ascii="Arial" w:hAnsi="Arial" w:cs="Arial"/>
          <w:sz w:val="22"/>
          <w:szCs w:val="22"/>
        </w:rPr>
        <w:t xml:space="preserve"> </w:t>
      </w:r>
      <w:r w:rsidRPr="00AE565A">
        <w:rPr>
          <w:rFonts w:ascii="Arial" w:eastAsia="MS Mincho" w:hAnsi="Arial" w:cs="Arial"/>
          <w:sz w:val="22"/>
          <w:szCs w:val="22"/>
        </w:rPr>
        <w:t xml:space="preserve">(AC 2001.01.99.041623-9/MG, Rel. Desembargador Federal Carlos Moreira Alves, Segunda Turma, DJ de 12/05/2009, p. 380). Assim, a exigência legal referente à comprovação sobre ser permanente a exposição aos agentes agressivos somente alcança o tempo de serviço prestado após a entrada em vigor da Lei nº 9.032/95. De qualquer sorte, a constatação do caráter </w:t>
      </w:r>
      <w:r w:rsidRPr="00AE565A">
        <w:rPr>
          <w:rFonts w:ascii="Arial" w:hAnsi="Arial" w:cs="Arial"/>
          <w:sz w:val="22"/>
          <w:szCs w:val="22"/>
        </w:rPr>
        <w:t>permanente da atividade especial não exige que o trabalho desempenhado pelo segurado esteja ininterruptamente submetido a um risco para a sua incolumidade.</w:t>
      </w:r>
    </w:p>
    <w:p w:rsidR="00C56C52" w:rsidRPr="00AE565A" w:rsidRDefault="00C56C52" w:rsidP="00C56C52">
      <w:pPr>
        <w:pStyle w:val="TextosemFormatao"/>
        <w:jc w:val="both"/>
        <w:rPr>
          <w:rFonts w:ascii="Arial" w:hAnsi="Arial" w:cs="Arial"/>
          <w:sz w:val="22"/>
          <w:szCs w:val="22"/>
        </w:rPr>
      </w:pPr>
      <w:r w:rsidRPr="00AE565A">
        <w:rPr>
          <w:rFonts w:ascii="Arial" w:eastAsia="MS Mincho" w:hAnsi="Arial" w:cs="Arial"/>
          <w:b/>
          <w:bCs/>
          <w:sz w:val="22"/>
          <w:szCs w:val="22"/>
        </w:rPr>
        <w:t>7.</w:t>
      </w:r>
      <w:r w:rsidRPr="00AE565A">
        <w:rPr>
          <w:rFonts w:ascii="Arial" w:hAnsi="Arial" w:cs="Arial"/>
          <w:sz w:val="22"/>
          <w:szCs w:val="22"/>
        </w:rPr>
        <w:t xml:space="preserve"> O tema do uso de equipamentos de proteção individual ao trabalhador já foi definitivamente enfrentado no âmbito do STF, que </w:t>
      </w:r>
      <w:proofErr w:type="gramStart"/>
      <w:r w:rsidRPr="00AE565A">
        <w:rPr>
          <w:rFonts w:ascii="Arial" w:hAnsi="Arial" w:cs="Arial"/>
          <w:sz w:val="22"/>
          <w:szCs w:val="22"/>
        </w:rPr>
        <w:t>concluiu,</w:t>
      </w:r>
      <w:proofErr w:type="gramEnd"/>
      <w:r w:rsidRPr="00AE565A">
        <w:rPr>
          <w:rFonts w:ascii="Arial" w:hAnsi="Arial" w:cs="Arial"/>
          <w:sz w:val="22"/>
          <w:szCs w:val="22"/>
        </w:rPr>
        <w:t xml:space="preserve"> em repercussão geral, que “na hipótese de exposição do trabalhador a ruído acima dos limites legais de tolerância, a declaração do empregador, no âmbito do Perfil </w:t>
      </w:r>
      <w:proofErr w:type="spellStart"/>
      <w:r w:rsidRPr="00AE565A">
        <w:rPr>
          <w:rFonts w:ascii="Arial" w:hAnsi="Arial" w:cs="Arial"/>
          <w:sz w:val="22"/>
          <w:szCs w:val="22"/>
        </w:rPr>
        <w:t>Profissiográfico</w:t>
      </w:r>
      <w:proofErr w:type="spellEnd"/>
      <w:r w:rsidRPr="00AE565A">
        <w:rPr>
          <w:rFonts w:ascii="Arial" w:hAnsi="Arial" w:cs="Arial"/>
          <w:sz w:val="22"/>
          <w:szCs w:val="22"/>
        </w:rPr>
        <w:t xml:space="preserve"> Previdenciário (PPP), no sentido da eficácia do Equipamento de Proteção Individual - EPI, não descaracteriza o tempo de serviço especial para aposentadoria.” (ARE 664335, LUIZ FUX, STF.). E, como primeira tese no julgamento referido, o STF afirmou que o direito à aposentadoria especial pressupõe a efetiva exposição do trabalhador a agente nocivo a sua saúde, de modo que, apenas se comprovadamente demonstrado que o Equipamento de Proteção Individual (EPI) é realmente capaz de neutralizar por inteiro qualquer nocividade, não haveria respaldo constitucional à aposentadoria especial, dúvida</w:t>
      </w:r>
      <w:proofErr w:type="gramStart"/>
      <w:r w:rsidRPr="00AE565A">
        <w:rPr>
          <w:rFonts w:ascii="Arial" w:hAnsi="Arial" w:cs="Arial"/>
          <w:sz w:val="22"/>
          <w:szCs w:val="22"/>
        </w:rPr>
        <w:t xml:space="preserve"> entretanto</w:t>
      </w:r>
      <w:proofErr w:type="gramEnd"/>
      <w:r w:rsidRPr="00AE565A">
        <w:rPr>
          <w:rFonts w:ascii="Arial" w:hAnsi="Arial" w:cs="Arial"/>
          <w:sz w:val="22"/>
          <w:szCs w:val="22"/>
        </w:rPr>
        <w:t xml:space="preserve"> não cabalmente eliminada nem discutida nos autos.</w:t>
      </w:r>
    </w:p>
    <w:p w:rsidR="00C56C52" w:rsidRPr="00AE565A" w:rsidRDefault="00C56C52" w:rsidP="00C56C52">
      <w:pPr>
        <w:pStyle w:val="ementa"/>
        <w:spacing w:before="0" w:after="0"/>
        <w:rPr>
          <w:rFonts w:cs="Arial"/>
          <w:szCs w:val="22"/>
        </w:rPr>
      </w:pPr>
      <w:r w:rsidRPr="00AE565A">
        <w:rPr>
          <w:rFonts w:cs="Arial"/>
          <w:b/>
          <w:szCs w:val="22"/>
        </w:rPr>
        <w:t xml:space="preserve">8. </w:t>
      </w:r>
      <w:r w:rsidRPr="00AE565A">
        <w:rPr>
          <w:rFonts w:cs="Arial"/>
          <w:szCs w:val="22"/>
        </w:rPr>
        <w:t xml:space="preserve">A matéria concernente aos consectários legais é de ordem pública e, portanto, aferível de ofício pelo julgador, consoante pacífico entendimento do STJ. Assim, alterar ou modificar de ofício o termo inicial ou percentual da correção monetária e dos juros de mora não configuram julgamento </w:t>
      </w:r>
      <w:r w:rsidRPr="00AE565A">
        <w:rPr>
          <w:rFonts w:cs="Arial"/>
          <w:i/>
          <w:iCs/>
          <w:szCs w:val="22"/>
        </w:rPr>
        <w:t>extra petita</w:t>
      </w:r>
      <w:r w:rsidRPr="00AE565A">
        <w:rPr>
          <w:rFonts w:cs="Arial"/>
          <w:szCs w:val="22"/>
        </w:rPr>
        <w:t xml:space="preserve">, tampouco se incorre no princípio da </w:t>
      </w:r>
      <w:proofErr w:type="spellStart"/>
      <w:r w:rsidRPr="00AE565A">
        <w:rPr>
          <w:rFonts w:cs="Arial"/>
          <w:i/>
          <w:iCs/>
          <w:szCs w:val="22"/>
        </w:rPr>
        <w:t>non</w:t>
      </w:r>
      <w:proofErr w:type="spellEnd"/>
      <w:r w:rsidRPr="00AE565A">
        <w:rPr>
          <w:rFonts w:cs="Arial"/>
          <w:i/>
          <w:iCs/>
          <w:szCs w:val="22"/>
        </w:rPr>
        <w:t xml:space="preserve"> </w:t>
      </w:r>
      <w:proofErr w:type="spellStart"/>
      <w:r w:rsidRPr="00AE565A">
        <w:rPr>
          <w:rFonts w:cs="Arial"/>
          <w:i/>
          <w:iCs/>
          <w:szCs w:val="22"/>
        </w:rPr>
        <w:t>reformatio</w:t>
      </w:r>
      <w:proofErr w:type="spellEnd"/>
      <w:r w:rsidRPr="00AE565A">
        <w:rPr>
          <w:rFonts w:cs="Arial"/>
          <w:i/>
          <w:iCs/>
          <w:szCs w:val="22"/>
        </w:rPr>
        <w:t xml:space="preserve"> in </w:t>
      </w:r>
      <w:proofErr w:type="spellStart"/>
      <w:r w:rsidRPr="00AE565A">
        <w:rPr>
          <w:rFonts w:cs="Arial"/>
          <w:i/>
          <w:iCs/>
          <w:szCs w:val="22"/>
        </w:rPr>
        <w:t>pejus</w:t>
      </w:r>
      <w:proofErr w:type="spellEnd"/>
      <w:r w:rsidRPr="00AE565A">
        <w:rPr>
          <w:rFonts w:cs="Arial"/>
          <w:szCs w:val="22"/>
        </w:rPr>
        <w:t xml:space="preserve"> (STJ, </w:t>
      </w:r>
      <w:proofErr w:type="spellStart"/>
      <w:proofErr w:type="gramStart"/>
      <w:r w:rsidRPr="00AE565A">
        <w:rPr>
          <w:rFonts w:cs="Arial"/>
          <w:szCs w:val="22"/>
        </w:rPr>
        <w:t>AgRg</w:t>
      </w:r>
      <w:proofErr w:type="spellEnd"/>
      <w:proofErr w:type="gramEnd"/>
      <w:r w:rsidRPr="00AE565A">
        <w:rPr>
          <w:rFonts w:cs="Arial"/>
          <w:szCs w:val="22"/>
        </w:rPr>
        <w:t xml:space="preserve"> no </w:t>
      </w:r>
      <w:proofErr w:type="spellStart"/>
      <w:r w:rsidRPr="00AE565A">
        <w:rPr>
          <w:rFonts w:cs="Arial"/>
          <w:szCs w:val="22"/>
        </w:rPr>
        <w:t>REsp</w:t>
      </w:r>
      <w:proofErr w:type="spellEnd"/>
      <w:r w:rsidRPr="00AE565A">
        <w:rPr>
          <w:rFonts w:cs="Arial"/>
          <w:szCs w:val="22"/>
        </w:rPr>
        <w:t xml:space="preserve"> 1.440.244/RS, Rel. Ministro </w:t>
      </w:r>
      <w:proofErr w:type="spellStart"/>
      <w:r w:rsidRPr="00AE565A">
        <w:rPr>
          <w:rFonts w:cs="Arial"/>
          <w:szCs w:val="22"/>
        </w:rPr>
        <w:t>Herman</w:t>
      </w:r>
      <w:proofErr w:type="spellEnd"/>
      <w:r w:rsidRPr="00AE565A">
        <w:rPr>
          <w:rFonts w:cs="Arial"/>
          <w:szCs w:val="22"/>
        </w:rPr>
        <w:t xml:space="preserve"> Benjamin, Segunda Turma, </w:t>
      </w:r>
      <w:proofErr w:type="spellStart"/>
      <w:r w:rsidRPr="00AE565A">
        <w:rPr>
          <w:rFonts w:cs="Arial"/>
          <w:szCs w:val="22"/>
        </w:rPr>
        <w:t>DJe</w:t>
      </w:r>
      <w:proofErr w:type="spellEnd"/>
      <w:r w:rsidRPr="00AE565A">
        <w:rPr>
          <w:rFonts w:cs="Arial"/>
          <w:szCs w:val="22"/>
        </w:rPr>
        <w:t xml:space="preserve"> de 10/10/2014; STJ, </w:t>
      </w:r>
      <w:proofErr w:type="spellStart"/>
      <w:r w:rsidRPr="00AE565A">
        <w:rPr>
          <w:rFonts w:cs="Arial"/>
          <w:szCs w:val="22"/>
        </w:rPr>
        <w:t>AgRg</w:t>
      </w:r>
      <w:proofErr w:type="spellEnd"/>
      <w:r w:rsidRPr="00AE565A">
        <w:rPr>
          <w:rFonts w:cs="Arial"/>
          <w:szCs w:val="22"/>
        </w:rPr>
        <w:t xml:space="preserve"> no </w:t>
      </w:r>
      <w:proofErr w:type="spellStart"/>
      <w:r w:rsidRPr="00AE565A">
        <w:rPr>
          <w:rFonts w:cs="Arial"/>
          <w:szCs w:val="22"/>
        </w:rPr>
        <w:t>REsp</w:t>
      </w:r>
      <w:proofErr w:type="spellEnd"/>
      <w:r w:rsidRPr="00AE565A">
        <w:rPr>
          <w:rFonts w:cs="Arial"/>
          <w:szCs w:val="22"/>
        </w:rPr>
        <w:t xml:space="preserve"> 1.451.962/RS, Rel. Ministro Mauro Campbell Marques, Segunda Turma, </w:t>
      </w:r>
      <w:proofErr w:type="spellStart"/>
      <w:r w:rsidRPr="00AE565A">
        <w:rPr>
          <w:rFonts w:cs="Arial"/>
          <w:szCs w:val="22"/>
        </w:rPr>
        <w:t>DJe</w:t>
      </w:r>
      <w:proofErr w:type="spellEnd"/>
      <w:r w:rsidRPr="00AE565A">
        <w:rPr>
          <w:rFonts w:cs="Arial"/>
          <w:szCs w:val="22"/>
        </w:rPr>
        <w:t xml:space="preserve"> de 23/09/2014; STJ, </w:t>
      </w:r>
      <w:proofErr w:type="spellStart"/>
      <w:r w:rsidRPr="00AE565A">
        <w:rPr>
          <w:rFonts w:cs="Arial"/>
          <w:szCs w:val="22"/>
        </w:rPr>
        <w:t>AgRg</w:t>
      </w:r>
      <w:proofErr w:type="spellEnd"/>
      <w:r w:rsidRPr="00AE565A">
        <w:rPr>
          <w:rFonts w:cs="Arial"/>
          <w:szCs w:val="22"/>
        </w:rPr>
        <w:t xml:space="preserve"> no </w:t>
      </w:r>
      <w:proofErr w:type="spellStart"/>
      <w:r w:rsidRPr="00AE565A">
        <w:rPr>
          <w:rFonts w:cs="Arial"/>
          <w:szCs w:val="22"/>
        </w:rPr>
        <w:t>AgRg</w:t>
      </w:r>
      <w:proofErr w:type="spellEnd"/>
      <w:r w:rsidRPr="00AE565A">
        <w:rPr>
          <w:rFonts w:cs="Arial"/>
          <w:szCs w:val="22"/>
        </w:rPr>
        <w:t xml:space="preserve"> no </w:t>
      </w:r>
      <w:proofErr w:type="spellStart"/>
      <w:r w:rsidRPr="00AE565A">
        <w:rPr>
          <w:rFonts w:cs="Arial"/>
          <w:szCs w:val="22"/>
        </w:rPr>
        <w:t>REsp</w:t>
      </w:r>
      <w:proofErr w:type="spellEnd"/>
      <w:r w:rsidRPr="00AE565A">
        <w:rPr>
          <w:rFonts w:cs="Arial"/>
          <w:szCs w:val="22"/>
        </w:rPr>
        <w:t xml:space="preserve"> 1.424.522/PR, Rel. Ministro Humberto Martins, Segunda Turma, </w:t>
      </w:r>
      <w:proofErr w:type="spellStart"/>
      <w:r w:rsidRPr="00AE565A">
        <w:rPr>
          <w:rFonts w:cs="Arial"/>
          <w:szCs w:val="22"/>
        </w:rPr>
        <w:t>DJe</w:t>
      </w:r>
      <w:proofErr w:type="spellEnd"/>
      <w:r w:rsidRPr="00AE565A">
        <w:rPr>
          <w:rFonts w:cs="Arial"/>
          <w:szCs w:val="22"/>
        </w:rPr>
        <w:t xml:space="preserve"> de 28/08/2014). E "a 1ª Seção do STJ, no julgamento do </w:t>
      </w:r>
      <w:proofErr w:type="spellStart"/>
      <w:proofErr w:type="gramStart"/>
      <w:r w:rsidRPr="00AE565A">
        <w:rPr>
          <w:rFonts w:cs="Arial"/>
          <w:szCs w:val="22"/>
        </w:rPr>
        <w:t>REsp</w:t>
      </w:r>
      <w:proofErr w:type="spellEnd"/>
      <w:proofErr w:type="gramEnd"/>
      <w:r w:rsidRPr="00AE565A">
        <w:rPr>
          <w:rFonts w:cs="Arial"/>
          <w:szCs w:val="22"/>
        </w:rPr>
        <w:t xml:space="preserve"> 1.112.746/DF, afirmou que os juros de mora e a correção monetária são obrigações de trato </w:t>
      </w:r>
      <w:r w:rsidRPr="00AE565A">
        <w:rPr>
          <w:rFonts w:cs="Arial"/>
          <w:szCs w:val="22"/>
        </w:rPr>
        <w:lastRenderedPageBreak/>
        <w:t>sucessivo, que se renovam mês a mês, devendo, portanto, ser aplicada no mês de regência a legislação vigente. Por essa razão, fixou-se o entendimento de que a lei nova superveniente que altera o regime dos juros moratórios deve ser aplicada imediatamente a todos os processos, abarcando inclusive aqueles em que já houve o trânsito em julgado e estejam em fase de execução. Não há, pois, nesses casos, que falar em violação da coisa julgada" (</w:t>
      </w:r>
      <w:proofErr w:type="spellStart"/>
      <w:r w:rsidRPr="00AE565A">
        <w:rPr>
          <w:rFonts w:cs="Arial"/>
          <w:szCs w:val="22"/>
        </w:rPr>
        <w:t>EDcl</w:t>
      </w:r>
      <w:proofErr w:type="spellEnd"/>
      <w:r w:rsidRPr="00AE565A">
        <w:rPr>
          <w:rFonts w:cs="Arial"/>
          <w:szCs w:val="22"/>
        </w:rPr>
        <w:t xml:space="preserve"> no </w:t>
      </w:r>
      <w:proofErr w:type="spellStart"/>
      <w:r w:rsidRPr="00AE565A">
        <w:rPr>
          <w:rFonts w:cs="Arial"/>
          <w:szCs w:val="22"/>
        </w:rPr>
        <w:t>AgRg</w:t>
      </w:r>
      <w:proofErr w:type="spellEnd"/>
      <w:r w:rsidRPr="00AE565A">
        <w:rPr>
          <w:rFonts w:cs="Arial"/>
          <w:szCs w:val="22"/>
        </w:rPr>
        <w:t xml:space="preserve"> no </w:t>
      </w:r>
      <w:proofErr w:type="spellStart"/>
      <w:r w:rsidRPr="00AE565A">
        <w:rPr>
          <w:rFonts w:cs="Arial"/>
          <w:szCs w:val="22"/>
        </w:rPr>
        <w:t>REsp</w:t>
      </w:r>
      <w:proofErr w:type="spellEnd"/>
      <w:r w:rsidRPr="00AE565A">
        <w:rPr>
          <w:rFonts w:cs="Arial"/>
          <w:szCs w:val="22"/>
        </w:rPr>
        <w:t xml:space="preserve"> 1.210.516/RS, Rel. Ministro NAPOLEÃO NUNES MAIA FILHO, PRIMEIRA TURMA, julgado em 15/09/2015, </w:t>
      </w:r>
      <w:proofErr w:type="spellStart"/>
      <w:r w:rsidRPr="00AE565A">
        <w:rPr>
          <w:rFonts w:cs="Arial"/>
          <w:szCs w:val="22"/>
        </w:rPr>
        <w:t>DJe</w:t>
      </w:r>
      <w:proofErr w:type="spellEnd"/>
      <w:r w:rsidRPr="00AE565A">
        <w:rPr>
          <w:rFonts w:cs="Arial"/>
          <w:szCs w:val="22"/>
        </w:rPr>
        <w:t xml:space="preserve"> 25/09/2015). Por seu turno, quanto aos aludidos consectários legais (correção monetária e juros de mora), cabe </w:t>
      </w:r>
      <w:proofErr w:type="gramStart"/>
      <w:r w:rsidRPr="00AE565A">
        <w:rPr>
          <w:rFonts w:cs="Arial"/>
          <w:szCs w:val="22"/>
        </w:rPr>
        <w:t>a</w:t>
      </w:r>
      <w:proofErr w:type="gramEnd"/>
      <w:r w:rsidRPr="00AE565A">
        <w:rPr>
          <w:rFonts w:cs="Arial"/>
          <w:szCs w:val="22"/>
        </w:rPr>
        <w:t xml:space="preserve"> aplicação do Manual de Cálculos da Justiça Federal, com aplicação dos juros de mora desde a citação, em relação às parcelas anteriores à mesma, ou desde o vencimento de cada parcela, se posteriores (vide tema 810 da repercussão geral, STF, RE 870.947/SE; e tema 905, STJ, RESP 1.495.146-MG).</w:t>
      </w:r>
    </w:p>
    <w:p w:rsidR="00C56C52" w:rsidRPr="00AE565A" w:rsidRDefault="00C56C52" w:rsidP="00C56C52">
      <w:pPr>
        <w:pStyle w:val="Corpodetexto"/>
        <w:widowControl w:val="0"/>
        <w:tabs>
          <w:tab w:val="left" w:pos="284"/>
        </w:tabs>
        <w:spacing w:after="0" w:line="240" w:lineRule="auto"/>
        <w:jc w:val="both"/>
        <w:rPr>
          <w:rFonts w:ascii="Arial" w:hAnsi="Arial" w:cs="Arial"/>
        </w:rPr>
      </w:pPr>
      <w:r w:rsidRPr="00AE565A">
        <w:rPr>
          <w:rFonts w:ascii="Arial" w:eastAsia="MS Mincho" w:hAnsi="Arial" w:cs="Arial"/>
          <w:b/>
          <w:bCs/>
          <w:color w:val="000000"/>
        </w:rPr>
        <w:t>9.</w:t>
      </w:r>
      <w:r w:rsidRPr="00AE565A">
        <w:rPr>
          <w:rFonts w:ascii="Arial" w:eastAsia="MS Mincho" w:hAnsi="Arial" w:cs="Arial"/>
        </w:rPr>
        <w:t xml:space="preserve"> Os h</w:t>
      </w:r>
      <w:r w:rsidRPr="00AE565A">
        <w:rPr>
          <w:rFonts w:ascii="Arial" w:hAnsi="Arial" w:cs="Arial"/>
          <w:bCs/>
        </w:rPr>
        <w:t>onorários</w:t>
      </w:r>
      <w:r w:rsidRPr="00AE565A">
        <w:rPr>
          <w:rFonts w:ascii="Arial" w:hAnsi="Arial" w:cs="Arial"/>
        </w:rPr>
        <w:t xml:space="preserve"> advocatícios, devidos pelo INSS, devem ser fixados em percentual a ser fixado por ocasião da liquidação do julgado, nos termos do art. 85, § 3º c/c § 4º, II, do NCPC, conforme regra inserta no § 5º do mesmo artigo, a incidir sobre o valor da condenação (Súmula 111 do STJ). Neste sentido a sentença recorrida, descabendo a </w:t>
      </w:r>
      <w:proofErr w:type="spellStart"/>
      <w:r w:rsidRPr="00AE565A">
        <w:rPr>
          <w:rFonts w:ascii="Arial" w:hAnsi="Arial" w:cs="Arial"/>
        </w:rPr>
        <w:t>irresignação</w:t>
      </w:r>
      <w:proofErr w:type="spellEnd"/>
      <w:r w:rsidRPr="00AE565A">
        <w:rPr>
          <w:rFonts w:ascii="Arial" w:hAnsi="Arial" w:cs="Arial"/>
        </w:rPr>
        <w:t xml:space="preserve"> da parte autora, no ponto, cabendo apenas o acréscimo de 1% em razão do esforço desenvolvido nesta instância após apelo do INSS (art. 85, par. 11, NCPC). </w:t>
      </w:r>
    </w:p>
    <w:p w:rsidR="00C56C52" w:rsidRPr="00AE565A" w:rsidRDefault="00C56C52" w:rsidP="00C56C52">
      <w:pPr>
        <w:pStyle w:val="Corpodetexto"/>
        <w:widowControl w:val="0"/>
        <w:tabs>
          <w:tab w:val="left" w:pos="284"/>
        </w:tabs>
        <w:spacing w:after="0" w:line="240" w:lineRule="auto"/>
        <w:rPr>
          <w:rFonts w:ascii="Arial" w:hAnsi="Arial" w:cs="Arial"/>
        </w:rPr>
      </w:pPr>
      <w:r w:rsidRPr="00AE565A">
        <w:rPr>
          <w:rFonts w:ascii="Arial" w:hAnsi="Arial" w:cs="Arial"/>
          <w:b/>
        </w:rPr>
        <w:t xml:space="preserve">10. </w:t>
      </w:r>
      <w:r w:rsidRPr="00AE565A">
        <w:rPr>
          <w:rFonts w:ascii="Arial" w:hAnsi="Arial" w:cs="Arial"/>
        </w:rPr>
        <w:t>Remessa oficial não conhecida. Apelação da parte autora provida em parte. Apelação do INSS desprovida.</w:t>
      </w:r>
    </w:p>
    <w:p w:rsidR="00C56C52" w:rsidRPr="00AE565A" w:rsidRDefault="00C56C52" w:rsidP="00C56C52">
      <w:pPr>
        <w:pStyle w:val="ementa"/>
        <w:spacing w:before="0" w:after="0"/>
        <w:rPr>
          <w:rFonts w:eastAsia="MS Mincho" w:cs="Arial"/>
          <w:b/>
          <w:bCs/>
          <w:color w:val="000000"/>
          <w:szCs w:val="22"/>
        </w:rPr>
      </w:pPr>
    </w:p>
    <w:p w:rsidR="00C56C52" w:rsidRDefault="00C56C52" w:rsidP="00C56C52">
      <w:pPr>
        <w:pStyle w:val="ementa"/>
        <w:spacing w:after="0"/>
        <w:rPr>
          <w:rFonts w:eastAsia="MS Mincho" w:cs="Arial"/>
          <w:bCs/>
          <w:color w:val="000000"/>
          <w:szCs w:val="22"/>
        </w:rPr>
      </w:pPr>
    </w:p>
    <w:p w:rsidR="00AE565A" w:rsidRPr="00AE565A" w:rsidRDefault="00AE565A" w:rsidP="00C56C52">
      <w:pPr>
        <w:pStyle w:val="ementa"/>
        <w:spacing w:after="0"/>
        <w:rPr>
          <w:rFonts w:eastAsia="MS Mincho" w:cs="Arial"/>
          <w:bCs/>
          <w:color w:val="000000"/>
          <w:szCs w:val="22"/>
        </w:rPr>
      </w:pPr>
    </w:p>
    <w:p w:rsidR="00C56C52" w:rsidRPr="00AE565A" w:rsidRDefault="00C56C52" w:rsidP="00C56C52">
      <w:pPr>
        <w:pStyle w:val="Ttulo1"/>
        <w:tabs>
          <w:tab w:val="center" w:pos="5255"/>
          <w:tab w:val="left" w:pos="6690"/>
        </w:tabs>
        <w:spacing w:before="120" w:after="120"/>
        <w:rPr>
          <w:sz w:val="22"/>
          <w:szCs w:val="22"/>
          <w:u w:val="none"/>
        </w:rPr>
      </w:pPr>
    </w:p>
    <w:p w:rsidR="00C56C52" w:rsidRPr="00AE565A" w:rsidRDefault="00C56C52" w:rsidP="00C56C52">
      <w:pPr>
        <w:pStyle w:val="Ttulo1"/>
        <w:tabs>
          <w:tab w:val="center" w:pos="5255"/>
          <w:tab w:val="left" w:pos="6690"/>
        </w:tabs>
        <w:spacing w:before="120" w:after="120"/>
        <w:rPr>
          <w:sz w:val="22"/>
          <w:szCs w:val="22"/>
          <w:u w:val="none"/>
        </w:rPr>
      </w:pPr>
      <w:r w:rsidRPr="00AE565A">
        <w:rPr>
          <w:sz w:val="22"/>
          <w:szCs w:val="22"/>
          <w:u w:val="none"/>
        </w:rPr>
        <w:t>A C Ó R D Ã O</w:t>
      </w:r>
    </w:p>
    <w:p w:rsidR="00C56C52" w:rsidRPr="00AE565A" w:rsidRDefault="00C56C52" w:rsidP="00C56C52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AE565A">
        <w:rPr>
          <w:rFonts w:ascii="Arial" w:hAnsi="Arial" w:cs="Arial"/>
        </w:rPr>
        <w:t>Decide a Câmara Regional Previdenciária da Bahia, por unanimidade, não conhecer da remessa oficial, negar provimento à apelação do INSS, dar parcial provimento à apelação da parte autora, e alterar a fixação de juros de mora e de correção monetária, de ofício, nos termos do voto do relator.</w:t>
      </w:r>
    </w:p>
    <w:p w:rsidR="00C56C52" w:rsidRPr="00AE565A" w:rsidRDefault="00C56C52" w:rsidP="00C56C52">
      <w:pPr>
        <w:spacing w:before="120" w:after="120" w:line="240" w:lineRule="auto"/>
        <w:ind w:firstLine="1418"/>
        <w:jc w:val="both"/>
        <w:rPr>
          <w:rFonts w:ascii="Arial" w:hAnsi="Arial" w:cs="Arial"/>
        </w:rPr>
      </w:pPr>
      <w:r w:rsidRPr="00AE565A">
        <w:rPr>
          <w:rFonts w:ascii="Arial" w:hAnsi="Arial" w:cs="Arial"/>
        </w:rPr>
        <w:t xml:space="preserve">Salvador-Ba, </w:t>
      </w:r>
      <w:proofErr w:type="gramStart"/>
      <w:r w:rsidRPr="00AE565A">
        <w:rPr>
          <w:rFonts w:ascii="Arial" w:hAnsi="Arial" w:cs="Arial"/>
        </w:rPr>
        <w:t>1</w:t>
      </w:r>
      <w:proofErr w:type="gramEnd"/>
      <w:r w:rsidRPr="00AE565A">
        <w:rPr>
          <w:rFonts w:ascii="Arial" w:hAnsi="Arial" w:cs="Arial"/>
        </w:rPr>
        <w:t xml:space="preserve"> de junho de 2018.</w:t>
      </w:r>
    </w:p>
    <w:p w:rsidR="00C56C52" w:rsidRPr="00AE565A" w:rsidRDefault="00C56C52" w:rsidP="00C56C52">
      <w:pPr>
        <w:spacing w:before="120" w:after="120" w:line="240" w:lineRule="auto"/>
        <w:ind w:hanging="181"/>
        <w:jc w:val="center"/>
        <w:rPr>
          <w:rFonts w:ascii="Arial" w:hAnsi="Arial" w:cs="Arial"/>
          <w:bCs/>
        </w:rPr>
      </w:pPr>
    </w:p>
    <w:p w:rsidR="00AE565A" w:rsidRPr="00AE565A" w:rsidRDefault="00AE565A" w:rsidP="00C56C52">
      <w:pPr>
        <w:spacing w:before="120" w:after="120" w:line="240" w:lineRule="auto"/>
        <w:ind w:hanging="181"/>
        <w:jc w:val="center"/>
        <w:rPr>
          <w:rFonts w:ascii="Arial" w:hAnsi="Arial" w:cs="Arial"/>
          <w:bCs/>
        </w:rPr>
      </w:pPr>
    </w:p>
    <w:p w:rsidR="00C56C52" w:rsidRPr="00AE565A" w:rsidRDefault="00C56C52" w:rsidP="00C56C52">
      <w:pPr>
        <w:pStyle w:val="assinatura"/>
        <w:rPr>
          <w:rFonts w:cs="Arial"/>
          <w:b/>
          <w:bCs/>
          <w:szCs w:val="22"/>
        </w:rPr>
      </w:pPr>
      <w:r w:rsidRPr="00AE565A">
        <w:rPr>
          <w:rFonts w:cs="Arial"/>
          <w:szCs w:val="22"/>
        </w:rPr>
        <w:t xml:space="preserve">Juiz Federal </w:t>
      </w:r>
      <w:r w:rsidRPr="00AE565A">
        <w:rPr>
          <w:rFonts w:cs="Arial"/>
          <w:b/>
          <w:szCs w:val="22"/>
        </w:rPr>
        <w:t>SAULO</w:t>
      </w:r>
      <w:r w:rsidRPr="00AE565A">
        <w:rPr>
          <w:rFonts w:cs="Arial"/>
          <w:szCs w:val="22"/>
        </w:rPr>
        <w:t xml:space="preserve"> </w:t>
      </w:r>
      <w:r w:rsidRPr="00AE565A">
        <w:rPr>
          <w:rFonts w:cs="Arial"/>
          <w:b/>
          <w:bCs/>
          <w:szCs w:val="22"/>
        </w:rPr>
        <w:t>CASALI BAHIA</w:t>
      </w:r>
    </w:p>
    <w:p w:rsidR="00C56C52" w:rsidRPr="00AE565A" w:rsidRDefault="00C56C52" w:rsidP="00C56C52">
      <w:pPr>
        <w:pStyle w:val="assinatura"/>
        <w:rPr>
          <w:rFonts w:cs="Arial"/>
          <w:szCs w:val="22"/>
        </w:rPr>
      </w:pPr>
      <w:r w:rsidRPr="00AE565A">
        <w:rPr>
          <w:rFonts w:cs="Arial"/>
          <w:szCs w:val="22"/>
        </w:rPr>
        <w:t>Relator Convocado</w:t>
      </w:r>
    </w:p>
    <w:p w:rsidR="00E63272" w:rsidRPr="00AE565A" w:rsidRDefault="00E63272" w:rsidP="005D4882">
      <w:pPr>
        <w:pStyle w:val="Identificao"/>
        <w:rPr>
          <w:rFonts w:cs="Arial"/>
          <w:szCs w:val="22"/>
        </w:rPr>
      </w:pPr>
    </w:p>
    <w:sectPr w:rsidR="00E63272" w:rsidRPr="00AE565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957" w:rsidRDefault="00801957">
      <w:r>
        <w:separator/>
      </w:r>
    </w:p>
  </w:endnote>
  <w:endnote w:type="continuationSeparator" w:id="0">
    <w:p w:rsidR="00801957" w:rsidRDefault="00801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F6B16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CF6B16">
      <w:rPr>
        <w:rFonts w:ascii="Arial" w:hAnsi="Arial"/>
        <w:sz w:val="10"/>
      </w:rPr>
      <w:fldChar w:fldCharType="separate"/>
    </w:r>
    <w:r w:rsidR="005D4882">
      <w:rPr>
        <w:rFonts w:ascii="Arial" w:hAnsi="Arial"/>
        <w:noProof/>
        <w:sz w:val="10"/>
      </w:rPr>
      <w:t>Documento1</w:t>
    </w:r>
    <w:r w:rsidR="00CF6B16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F6B16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CF6B16">
      <w:rPr>
        <w:rFonts w:ascii="Arial" w:hAnsi="Arial"/>
        <w:sz w:val="13"/>
      </w:rPr>
      <w:fldChar w:fldCharType="separate"/>
    </w:r>
    <w:r w:rsidR="005D4882">
      <w:rPr>
        <w:rFonts w:ascii="Arial" w:hAnsi="Arial"/>
        <w:noProof/>
        <w:sz w:val="13"/>
      </w:rPr>
      <w:t>Documento1</w:t>
    </w:r>
    <w:r w:rsidR="00CF6B16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CF6B16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CF6B16">
      <w:rPr>
        <w:rFonts w:ascii="Arial" w:hAnsi="Arial"/>
        <w:sz w:val="13"/>
      </w:rPr>
      <w:fldChar w:fldCharType="separate"/>
    </w:r>
    <w:r w:rsidR="005D4882">
      <w:rPr>
        <w:rFonts w:ascii="Arial" w:hAnsi="Arial"/>
        <w:noProof/>
        <w:sz w:val="13"/>
      </w:rPr>
      <w:t>TR300321</w:t>
    </w:r>
    <w:r w:rsidR="00CF6B16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957" w:rsidRDefault="00801957">
      <w:r>
        <w:separator/>
      </w:r>
    </w:p>
  </w:footnote>
  <w:footnote w:type="continuationSeparator" w:id="0">
    <w:p w:rsidR="00801957" w:rsidRDefault="008019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CF6B16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CF6B16">
      <w:rPr>
        <w:rFonts w:ascii="Arial" w:hAnsi="Arial" w:cs="Arial"/>
        <w:bCs/>
        <w:sz w:val="16"/>
      </w:rPr>
      <w:fldChar w:fldCharType="separate"/>
    </w:r>
    <w:r w:rsidR="00AE565A">
      <w:rPr>
        <w:rFonts w:ascii="Arial" w:hAnsi="Arial" w:cs="Arial"/>
        <w:bCs/>
        <w:noProof/>
        <w:sz w:val="16"/>
      </w:rPr>
      <w:t>3</w:t>
    </w:r>
    <w:r w:rsidR="00CF6B16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CF6B16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CF6B16">
      <w:rPr>
        <w:rFonts w:ascii="Arial" w:hAnsi="Arial" w:cs="Arial"/>
        <w:bCs/>
        <w:sz w:val="16"/>
      </w:rPr>
      <w:fldChar w:fldCharType="separate"/>
    </w:r>
    <w:r w:rsidR="00AE565A">
      <w:rPr>
        <w:rFonts w:ascii="Arial" w:hAnsi="Arial" w:cs="Arial"/>
        <w:bCs/>
        <w:noProof/>
        <w:sz w:val="16"/>
      </w:rPr>
      <w:t>3</w:t>
    </w:r>
    <w:r w:rsidR="00CF6B16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882" w:rsidRPr="005D4882" w:rsidRDefault="005D4882" w:rsidP="005D4882">
    <w:pPr>
      <w:jc w:val="right"/>
      <w:rPr>
        <w:rFonts w:ascii="Interleaved 2of5" w:hAnsi="Interleaved 2of5"/>
        <w:sz w:val="48"/>
      </w:rPr>
    </w:pPr>
    <w:r w:rsidRPr="005D4882">
      <w:rPr>
        <w:rFonts w:ascii="Interleaved 2of5" w:hAnsi="Interleaved 2of5"/>
        <w:sz w:val="48"/>
      </w:rPr>
      <w:t>(4Ø&lt;1Î1Q0)</w:t>
    </w:r>
  </w:p>
  <w:p w:rsidR="005D4882" w:rsidRDefault="005D4882" w:rsidP="005D4882">
    <w:pPr>
      <w:spacing w:before="120"/>
      <w:rPr>
        <w:rFonts w:ascii="Arial" w:hAnsi="Arial"/>
        <w:sz w:val="16"/>
      </w:rPr>
    </w:pPr>
  </w:p>
  <w:p w:rsidR="004554A7" w:rsidRDefault="005D4882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957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D4882"/>
    <w:rsid w:val="005E20DB"/>
    <w:rsid w:val="006779DE"/>
    <w:rsid w:val="006A4ECE"/>
    <w:rsid w:val="007A7066"/>
    <w:rsid w:val="007C3424"/>
    <w:rsid w:val="00801957"/>
    <w:rsid w:val="008713AE"/>
    <w:rsid w:val="00872397"/>
    <w:rsid w:val="008A3D69"/>
    <w:rsid w:val="008C4395"/>
    <w:rsid w:val="0099169E"/>
    <w:rsid w:val="00AE565A"/>
    <w:rsid w:val="00C5492A"/>
    <w:rsid w:val="00C56C52"/>
    <w:rsid w:val="00CF6B16"/>
    <w:rsid w:val="00D221D6"/>
    <w:rsid w:val="00D67B2C"/>
    <w:rsid w:val="00DD0AC9"/>
    <w:rsid w:val="00E63272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327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E63272"/>
    <w:pPr>
      <w:keepNext/>
      <w:spacing w:after="0" w:line="240" w:lineRule="auto"/>
      <w:jc w:val="center"/>
      <w:outlineLvl w:val="0"/>
    </w:pPr>
    <w:rPr>
      <w:rFonts w:ascii="Arial" w:hAnsi="Arial" w:cs="Arial"/>
      <w:b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D67B2C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rsid w:val="00D67B2C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D67B2C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D67B2C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link w:val="CabealhoChar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D67B2C"/>
    <w:pPr>
      <w:ind w:left="2835"/>
    </w:pPr>
  </w:style>
  <w:style w:type="paragraph" w:customStyle="1" w:styleId="transcrio3">
    <w:name w:val="transcrição 3"/>
    <w:basedOn w:val="Identificao"/>
    <w:rsid w:val="00D67B2C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D67B2C"/>
    <w:pPr>
      <w:ind w:left="4536"/>
    </w:pPr>
  </w:style>
  <w:style w:type="paragraph" w:customStyle="1" w:styleId="assinatura">
    <w:name w:val="assinatura"/>
    <w:basedOn w:val="Pargrafo"/>
    <w:rsid w:val="00D67B2C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D67B2C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5D4882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D4882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E6327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E6327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E63272"/>
    <w:rPr>
      <w:rFonts w:ascii="Arial" w:eastAsia="Calibri" w:hAnsi="Arial" w:cs="Arial"/>
      <w:b/>
      <w:sz w:val="24"/>
      <w:szCs w:val="24"/>
      <w:u w:val="single"/>
    </w:rPr>
  </w:style>
  <w:style w:type="character" w:customStyle="1" w:styleId="CabealhoChar">
    <w:name w:val="Cabeçalho Char"/>
    <w:basedOn w:val="Fontepargpadro"/>
    <w:link w:val="Cabealho"/>
    <w:rsid w:val="00E63272"/>
    <w:rPr>
      <w:sz w:val="24"/>
      <w:szCs w:val="24"/>
    </w:rPr>
  </w:style>
  <w:style w:type="character" w:customStyle="1" w:styleId="IdentificaoChar">
    <w:name w:val="Identificação Char"/>
    <w:link w:val="Identificao"/>
    <w:rsid w:val="00E63272"/>
    <w:rPr>
      <w:rFonts w:ascii="Arial" w:hAnsi="Arial"/>
      <w:sz w:val="22"/>
      <w:szCs w:val="24"/>
    </w:rPr>
  </w:style>
  <w:style w:type="character" w:customStyle="1" w:styleId="Corpodetexto3Char">
    <w:name w:val="Corpo de texto 3 Char"/>
    <w:link w:val="Corpodetexto3"/>
    <w:locked/>
    <w:rsid w:val="00E63272"/>
    <w:rPr>
      <w:sz w:val="16"/>
      <w:szCs w:val="16"/>
    </w:rPr>
  </w:style>
  <w:style w:type="paragraph" w:styleId="Corpodetexto3">
    <w:name w:val="Body Text 3"/>
    <w:basedOn w:val="Normal"/>
    <w:link w:val="Corpodetexto3Char"/>
    <w:rsid w:val="00E6327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1">
    <w:name w:val="Corpo de texto 3 Char1"/>
    <w:basedOn w:val="Fontepargpadro"/>
    <w:link w:val="Corpodetexto3"/>
    <w:rsid w:val="00E63272"/>
    <w:rPr>
      <w:rFonts w:ascii="Calibri" w:eastAsia="Calibri" w:hAnsi="Calibri"/>
      <w:sz w:val="16"/>
      <w:szCs w:val="16"/>
      <w:lang w:eastAsia="en-US"/>
    </w:rPr>
  </w:style>
  <w:style w:type="character" w:customStyle="1" w:styleId="ementaChar">
    <w:name w:val="ementa Char"/>
    <w:basedOn w:val="Fontepargpadro"/>
    <w:link w:val="ementa"/>
    <w:rsid w:val="00E63272"/>
    <w:rPr>
      <w:rFonts w:ascii="Arial" w:hAnsi="Arial"/>
      <w:sz w:val="22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E6327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63272"/>
    <w:rPr>
      <w:rFonts w:ascii="Calibri" w:eastAsia="Calibri" w:hAnsi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rsid w:val="00C56C5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3</TotalTime>
  <Pages>3</Pages>
  <Words>1545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9872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ba364403</cp:lastModifiedBy>
  <cp:revision>4</cp:revision>
  <dcterms:created xsi:type="dcterms:W3CDTF">2018-05-24T19:38:00Z</dcterms:created>
  <dcterms:modified xsi:type="dcterms:W3CDTF">2018-06-08T14:51:00Z</dcterms:modified>
</cp:coreProperties>
</file>