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22B" w:rsidRPr="00E2177B" w:rsidRDefault="000F222B" w:rsidP="000F222B">
      <w:pPr>
        <w:pStyle w:val="Identificao"/>
      </w:pPr>
      <w:r w:rsidRPr="00E2177B">
        <w:t xml:space="preserve">Numeração Única: 474120164013300 </w:t>
      </w:r>
    </w:p>
    <w:p w:rsidR="000F222B" w:rsidRPr="00E2177B" w:rsidRDefault="000F222B" w:rsidP="000F222B">
      <w:pPr>
        <w:pStyle w:val="Identificao"/>
      </w:pPr>
      <w:r w:rsidRPr="00E2177B">
        <w:t>APELAÇÃO/REEXAME NECESSÁRIO</w:t>
      </w:r>
      <w:proofErr w:type="gramStart"/>
      <w:r w:rsidRPr="00E2177B">
        <w:t xml:space="preserve">  </w:t>
      </w:r>
      <w:proofErr w:type="gramEnd"/>
      <w:r w:rsidRPr="00E2177B">
        <w:t>0000047-41.2016.4.01.3300/BA</w:t>
      </w:r>
    </w:p>
    <w:p w:rsidR="000F222B" w:rsidRPr="00E2177B" w:rsidRDefault="000F222B" w:rsidP="000F222B">
      <w:pPr>
        <w:pStyle w:val="Identificao"/>
      </w:pPr>
      <w:r w:rsidRPr="00E2177B">
        <w:t>Processo na Origem: 474120164013300</w:t>
      </w:r>
    </w:p>
    <w:p w:rsidR="000F222B" w:rsidRDefault="000F222B" w:rsidP="000F222B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F222B" w:rsidRPr="005D4882" w:rsidTr="007263A3">
        <w:tc>
          <w:tcPr>
            <w:tcW w:w="20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proofErr w:type="gramStart"/>
            <w:r w:rsidRPr="005D4882">
              <w:t>RELATOR(</w:t>
            </w:r>
            <w:proofErr w:type="gramEnd"/>
            <w:r w:rsidRPr="005D4882">
              <w:t>A)</w:t>
            </w:r>
          </w:p>
        </w:tc>
        <w:tc>
          <w:tcPr>
            <w:tcW w:w="3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:</w:t>
            </w:r>
          </w:p>
        </w:tc>
        <w:tc>
          <w:tcPr>
            <w:tcW w:w="76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JUIZ FEDERAL SAULO JOSÉ CASALI BAHIA</w:t>
            </w:r>
          </w:p>
        </w:tc>
      </w:tr>
      <w:tr w:rsidR="000F222B" w:rsidRPr="005D4882" w:rsidTr="007263A3">
        <w:tc>
          <w:tcPr>
            <w:tcW w:w="20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APELANTE</w:t>
            </w:r>
          </w:p>
        </w:tc>
        <w:tc>
          <w:tcPr>
            <w:tcW w:w="3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:</w:t>
            </w:r>
          </w:p>
        </w:tc>
        <w:tc>
          <w:tcPr>
            <w:tcW w:w="76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 xml:space="preserve">ROBERTO ROCHA FILGUEIRAS </w:t>
            </w:r>
          </w:p>
        </w:tc>
      </w:tr>
      <w:tr w:rsidR="000F222B" w:rsidRPr="005D4882" w:rsidTr="007263A3">
        <w:tc>
          <w:tcPr>
            <w:tcW w:w="20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ADVOGADO</w:t>
            </w:r>
          </w:p>
        </w:tc>
        <w:tc>
          <w:tcPr>
            <w:tcW w:w="3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:</w:t>
            </w:r>
          </w:p>
        </w:tc>
        <w:tc>
          <w:tcPr>
            <w:tcW w:w="76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 xml:space="preserve">BA00018482 - ANDREZA DE OLIVEIRA CERQUEIRA E </w:t>
            </w:r>
            <w:proofErr w:type="gramStart"/>
            <w:r w:rsidRPr="005D4882">
              <w:t>OUTRO(</w:t>
            </w:r>
            <w:proofErr w:type="gramEnd"/>
            <w:r w:rsidRPr="005D4882">
              <w:t>A)</w:t>
            </w:r>
          </w:p>
        </w:tc>
      </w:tr>
      <w:tr w:rsidR="000F222B" w:rsidRPr="005D4882" w:rsidTr="007263A3">
        <w:tc>
          <w:tcPr>
            <w:tcW w:w="20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APELANTE</w:t>
            </w:r>
          </w:p>
        </w:tc>
        <w:tc>
          <w:tcPr>
            <w:tcW w:w="3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:</w:t>
            </w:r>
          </w:p>
        </w:tc>
        <w:tc>
          <w:tcPr>
            <w:tcW w:w="76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 xml:space="preserve">INSTITUTO NACIONAL DO SEGURO SOCIAL - INSS </w:t>
            </w:r>
          </w:p>
        </w:tc>
      </w:tr>
      <w:tr w:rsidR="000F222B" w:rsidRPr="005D4882" w:rsidTr="007263A3">
        <w:tc>
          <w:tcPr>
            <w:tcW w:w="20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:</w:t>
            </w:r>
          </w:p>
        </w:tc>
        <w:tc>
          <w:tcPr>
            <w:tcW w:w="76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 xml:space="preserve">PROCURADORIA REGIONAL FEDERAL DA 1ª REGIÃO </w:t>
            </w:r>
          </w:p>
        </w:tc>
      </w:tr>
      <w:tr w:rsidR="000F222B" w:rsidRPr="005D4882" w:rsidTr="007263A3">
        <w:tc>
          <w:tcPr>
            <w:tcW w:w="20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APELADO</w:t>
            </w:r>
          </w:p>
        </w:tc>
        <w:tc>
          <w:tcPr>
            <w:tcW w:w="3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:</w:t>
            </w:r>
          </w:p>
        </w:tc>
        <w:tc>
          <w:tcPr>
            <w:tcW w:w="76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 xml:space="preserve">OS MESMOS </w:t>
            </w:r>
          </w:p>
        </w:tc>
      </w:tr>
      <w:tr w:rsidR="000F222B" w:rsidRPr="005D4882" w:rsidTr="007263A3">
        <w:tc>
          <w:tcPr>
            <w:tcW w:w="20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REMETENTE</w:t>
            </w:r>
          </w:p>
        </w:tc>
        <w:tc>
          <w:tcPr>
            <w:tcW w:w="3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>:</w:t>
            </w:r>
          </w:p>
        </w:tc>
        <w:tc>
          <w:tcPr>
            <w:tcW w:w="7600" w:type="dxa"/>
            <w:shd w:val="clear" w:color="auto" w:fill="auto"/>
          </w:tcPr>
          <w:p w:rsidR="000F222B" w:rsidRPr="005D4882" w:rsidRDefault="000F222B" w:rsidP="007263A3">
            <w:pPr>
              <w:pStyle w:val="Identificao"/>
            </w:pPr>
            <w:r w:rsidRPr="005D4882">
              <w:t xml:space="preserve">JUIZO FEDERAL DA 14A VARA - BA </w:t>
            </w:r>
          </w:p>
        </w:tc>
      </w:tr>
    </w:tbl>
    <w:p w:rsidR="000F222B" w:rsidRDefault="000F222B" w:rsidP="000F222B">
      <w:pPr>
        <w:pStyle w:val="Identificao"/>
      </w:pPr>
    </w:p>
    <w:p w:rsidR="000F222B" w:rsidRDefault="000F222B" w:rsidP="000F222B">
      <w:pPr>
        <w:pStyle w:val="Identificao"/>
      </w:pPr>
    </w:p>
    <w:p w:rsidR="004B5018" w:rsidRPr="00155D21" w:rsidRDefault="004B5018" w:rsidP="004B5018">
      <w:pPr>
        <w:pStyle w:val="centralizar"/>
        <w:spacing w:before="0" w:after="0" w:line="360" w:lineRule="auto"/>
        <w:rPr>
          <w:rFonts w:cs="Arial"/>
          <w:szCs w:val="22"/>
        </w:rPr>
      </w:pPr>
      <w:r w:rsidRPr="00155D21">
        <w:rPr>
          <w:rFonts w:cs="Arial"/>
          <w:szCs w:val="22"/>
        </w:rPr>
        <w:t>R E L A T Ó R I O</w:t>
      </w:r>
    </w:p>
    <w:p w:rsidR="004B5018" w:rsidRPr="00155D21" w:rsidRDefault="004B5018" w:rsidP="004B5018">
      <w:pPr>
        <w:pStyle w:val="Pargrafo"/>
        <w:spacing w:before="0" w:after="0" w:line="360" w:lineRule="auto"/>
        <w:ind w:right="98"/>
        <w:rPr>
          <w:rFonts w:cs="Arial"/>
          <w:b/>
          <w:spacing w:val="-6"/>
          <w:szCs w:val="22"/>
        </w:rPr>
      </w:pPr>
    </w:p>
    <w:p w:rsidR="004B5018" w:rsidRPr="00155D21" w:rsidRDefault="004B5018" w:rsidP="004B5018">
      <w:pPr>
        <w:pStyle w:val="Pargrafo"/>
        <w:spacing w:before="0" w:after="0" w:line="360" w:lineRule="auto"/>
        <w:rPr>
          <w:rFonts w:cs="Arial"/>
          <w:b/>
          <w:spacing w:val="-6"/>
          <w:szCs w:val="22"/>
        </w:rPr>
      </w:pPr>
      <w:r w:rsidRPr="00155D21">
        <w:rPr>
          <w:rFonts w:cs="Arial"/>
          <w:b/>
          <w:spacing w:val="-6"/>
          <w:szCs w:val="22"/>
        </w:rPr>
        <w:t>O EXM</w:t>
      </w:r>
      <w:r>
        <w:rPr>
          <w:rFonts w:cs="Arial"/>
          <w:b/>
          <w:spacing w:val="-6"/>
          <w:szCs w:val="22"/>
        </w:rPr>
        <w:t>O.</w:t>
      </w:r>
      <w:r w:rsidRPr="00155D21">
        <w:rPr>
          <w:rFonts w:cs="Arial"/>
          <w:b/>
          <w:spacing w:val="-6"/>
          <w:szCs w:val="22"/>
        </w:rPr>
        <w:t xml:space="preserve"> </w:t>
      </w:r>
      <w:proofErr w:type="gramStart"/>
      <w:r w:rsidRPr="00155D21">
        <w:rPr>
          <w:rFonts w:cs="Arial"/>
          <w:b/>
          <w:spacing w:val="-6"/>
          <w:szCs w:val="22"/>
        </w:rPr>
        <w:t>SR</w:t>
      </w:r>
      <w:r>
        <w:rPr>
          <w:rFonts w:cs="Arial"/>
          <w:b/>
          <w:spacing w:val="-6"/>
          <w:szCs w:val="22"/>
        </w:rPr>
        <w:t>.</w:t>
      </w:r>
      <w:proofErr w:type="gramEnd"/>
      <w:r w:rsidRPr="00155D21">
        <w:rPr>
          <w:rFonts w:cs="Arial"/>
          <w:b/>
          <w:spacing w:val="-6"/>
          <w:szCs w:val="22"/>
        </w:rPr>
        <w:t xml:space="preserve"> JUIZ FEDERAL SAULO CASALI BAHIA (RELATOR</w:t>
      </w:r>
      <w:r w:rsidRPr="004F05A0">
        <w:rPr>
          <w:rFonts w:cs="Arial"/>
          <w:b/>
          <w:spacing w:val="-6"/>
          <w:szCs w:val="22"/>
        </w:rPr>
        <w:t xml:space="preserve"> </w:t>
      </w:r>
      <w:r w:rsidRPr="00155D21">
        <w:rPr>
          <w:rFonts w:cs="Arial"/>
          <w:b/>
          <w:spacing w:val="-6"/>
          <w:szCs w:val="22"/>
        </w:rPr>
        <w:t>CONVOCADO):</w:t>
      </w:r>
    </w:p>
    <w:p w:rsidR="004B5018" w:rsidRDefault="004B5018" w:rsidP="004B5018">
      <w:pPr>
        <w:pStyle w:val="Pargrafo"/>
        <w:spacing w:before="0" w:after="0" w:line="360" w:lineRule="auto"/>
        <w:rPr>
          <w:rFonts w:cs="Arial"/>
          <w:szCs w:val="22"/>
        </w:rPr>
      </w:pPr>
      <w:r w:rsidRPr="00155D21">
        <w:rPr>
          <w:rFonts w:cs="Arial"/>
          <w:szCs w:val="22"/>
        </w:rPr>
        <w:t>Trata-se de</w:t>
      </w:r>
      <w:r>
        <w:rPr>
          <w:rFonts w:cs="Arial"/>
          <w:szCs w:val="22"/>
        </w:rPr>
        <w:t xml:space="preserve"> apelações da parte autora, ROBERTO ROCHA FILGUEIRAS, e do INSS em face da sentença que, reconhecendo a prescrição das parcelas anteriores a 29/12/2010, julgou procedente o pedido de revisão do benefício para condenar o INSS a reconhecer os períodos de 01/03/85 a 01/04/95 como tempo de serviço especial para efeito de averbação e computo do tempo total de 38 anos, </w:t>
      </w:r>
      <w:proofErr w:type="gramStart"/>
      <w:r>
        <w:rPr>
          <w:rFonts w:cs="Arial"/>
          <w:szCs w:val="22"/>
        </w:rPr>
        <w:t>5</w:t>
      </w:r>
      <w:proofErr w:type="gramEnd"/>
      <w:r>
        <w:rPr>
          <w:rFonts w:cs="Arial"/>
          <w:szCs w:val="22"/>
        </w:rPr>
        <w:t xml:space="preserve"> meses e 8 dias de contribuição até 30/07/2010.</w:t>
      </w:r>
    </w:p>
    <w:p w:rsidR="004B5018" w:rsidRPr="00155D21" w:rsidRDefault="004B5018" w:rsidP="004B5018">
      <w:pPr>
        <w:pStyle w:val="Pargrafo"/>
        <w:spacing w:before="0" w:after="0"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Em razões de apelação, a parte autora reclama a reforma da sentença para afastar a prescrição, ao argumento da suspensão do prazo prescricional com o requerimento administrativo até a comunicação efetiva pelo recorrido da decisão, e a incidência de juros, a partir da citação e correção monetária pelo INPC, além da alteração dos honorários </w:t>
      </w:r>
      <w:proofErr w:type="spellStart"/>
      <w:r>
        <w:rPr>
          <w:rFonts w:cs="Arial"/>
          <w:szCs w:val="22"/>
        </w:rPr>
        <w:t>sucumbenciais</w:t>
      </w:r>
      <w:proofErr w:type="spellEnd"/>
      <w:r>
        <w:rPr>
          <w:rFonts w:cs="Arial"/>
          <w:szCs w:val="22"/>
        </w:rPr>
        <w:t>.</w:t>
      </w:r>
    </w:p>
    <w:p w:rsidR="004B5018" w:rsidRDefault="004B5018" w:rsidP="004B5018">
      <w:pPr>
        <w:pStyle w:val="Pargrafo"/>
        <w:spacing w:before="0" w:after="0" w:line="360" w:lineRule="auto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Por sua vez, em suas razões recursais, a autarquia previdenciária, argui, em preliminar, a prescrição quinquenal e, no mérito, reclama a reforma da sentença, tendo em vista que o período de 01/03/1985 a 01/04/1995, averbado na sentença, não merece enquadramento como atividade especial, nos termos da decisão administrativa destacada. Em caráter eventual, requer a incidência de juros e correção monetária, nos termos do art. 1º- F, da Lei n.9.494/97, alterado pela Lei n. 11.960/09. </w:t>
      </w:r>
      <w:proofErr w:type="spellStart"/>
      <w:r>
        <w:rPr>
          <w:rFonts w:cs="Arial"/>
          <w:bCs/>
          <w:szCs w:val="22"/>
        </w:rPr>
        <w:t>Prequestionou</w:t>
      </w:r>
      <w:proofErr w:type="spellEnd"/>
      <w:r>
        <w:rPr>
          <w:rFonts w:cs="Arial"/>
          <w:bCs/>
          <w:szCs w:val="22"/>
        </w:rPr>
        <w:t xml:space="preserve"> os dispositivos legais aplicáveis à matéria.</w:t>
      </w:r>
    </w:p>
    <w:p w:rsidR="004B5018" w:rsidRPr="00155D21" w:rsidRDefault="004B5018" w:rsidP="004B5018">
      <w:pPr>
        <w:pStyle w:val="Pargrafo"/>
        <w:spacing w:before="0" w:after="0" w:line="360" w:lineRule="auto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Contrarrazões apenas pela parte autora, às fls. 226/250.</w:t>
      </w:r>
    </w:p>
    <w:p w:rsidR="004B5018" w:rsidRDefault="004B5018" w:rsidP="004B5018">
      <w:pPr>
        <w:pStyle w:val="Identificao"/>
        <w:spacing w:line="360" w:lineRule="auto"/>
        <w:ind w:firstLine="1418"/>
        <w:rPr>
          <w:rFonts w:cs="Arial"/>
          <w:szCs w:val="22"/>
        </w:rPr>
      </w:pPr>
      <w:r>
        <w:rPr>
          <w:rFonts w:cs="Arial"/>
          <w:szCs w:val="22"/>
        </w:rPr>
        <w:t>Há remessa oficial.</w:t>
      </w:r>
    </w:p>
    <w:p w:rsidR="004B5018" w:rsidRDefault="004B5018" w:rsidP="004B5018">
      <w:pPr>
        <w:pStyle w:val="Identificao"/>
        <w:spacing w:line="360" w:lineRule="auto"/>
        <w:ind w:firstLine="1418"/>
        <w:rPr>
          <w:rFonts w:cs="Arial"/>
          <w:szCs w:val="22"/>
        </w:rPr>
      </w:pPr>
      <w:r w:rsidRPr="00155D21">
        <w:rPr>
          <w:rFonts w:cs="Arial"/>
          <w:szCs w:val="22"/>
        </w:rPr>
        <w:t>É o relatório.</w:t>
      </w:r>
    </w:p>
    <w:p w:rsidR="004B5018" w:rsidRDefault="004B5018" w:rsidP="004B5018">
      <w:pPr>
        <w:pStyle w:val="Identificao"/>
        <w:spacing w:line="360" w:lineRule="auto"/>
        <w:ind w:firstLine="1418"/>
        <w:rPr>
          <w:rFonts w:cs="Arial"/>
          <w:szCs w:val="22"/>
        </w:rPr>
      </w:pPr>
    </w:p>
    <w:p w:rsidR="004B5018" w:rsidRPr="00155D21" w:rsidRDefault="004B5018" w:rsidP="004B5018">
      <w:pPr>
        <w:pStyle w:val="Identificao"/>
        <w:spacing w:line="360" w:lineRule="auto"/>
        <w:jc w:val="center"/>
        <w:rPr>
          <w:rFonts w:cs="Arial"/>
          <w:b/>
          <w:szCs w:val="22"/>
        </w:rPr>
      </w:pPr>
      <w:r w:rsidRPr="00155D21">
        <w:rPr>
          <w:rFonts w:cs="Arial"/>
          <w:b/>
          <w:szCs w:val="22"/>
        </w:rPr>
        <w:t>V O T O</w:t>
      </w:r>
    </w:p>
    <w:p w:rsidR="004B5018" w:rsidRPr="00155D21" w:rsidRDefault="004B5018" w:rsidP="004B5018">
      <w:pPr>
        <w:pStyle w:val="Identificao"/>
        <w:spacing w:line="360" w:lineRule="auto"/>
        <w:jc w:val="center"/>
        <w:rPr>
          <w:rFonts w:cs="Arial"/>
          <w:szCs w:val="22"/>
        </w:rPr>
      </w:pPr>
    </w:p>
    <w:p w:rsidR="004B5018" w:rsidRPr="00F811E6" w:rsidRDefault="004B5018" w:rsidP="004B5018">
      <w:pPr>
        <w:pStyle w:val="Pargrafo"/>
        <w:spacing w:before="0" w:after="0" w:line="360" w:lineRule="auto"/>
        <w:rPr>
          <w:rFonts w:cs="Arial"/>
          <w:b/>
          <w:spacing w:val="-6"/>
          <w:szCs w:val="22"/>
        </w:rPr>
      </w:pPr>
      <w:r w:rsidRPr="00F811E6">
        <w:rPr>
          <w:rFonts w:cs="Arial"/>
          <w:b/>
          <w:spacing w:val="-6"/>
          <w:szCs w:val="22"/>
        </w:rPr>
        <w:t xml:space="preserve">O EXMO. </w:t>
      </w:r>
      <w:proofErr w:type="gramStart"/>
      <w:r w:rsidRPr="00F811E6">
        <w:rPr>
          <w:rFonts w:cs="Arial"/>
          <w:b/>
          <w:spacing w:val="-6"/>
          <w:szCs w:val="22"/>
        </w:rPr>
        <w:t>SR.</w:t>
      </w:r>
      <w:proofErr w:type="gramEnd"/>
      <w:r w:rsidRPr="00F811E6">
        <w:rPr>
          <w:rFonts w:cs="Arial"/>
          <w:b/>
          <w:spacing w:val="-6"/>
          <w:szCs w:val="22"/>
        </w:rPr>
        <w:t xml:space="preserve"> JUIZ FEDERAL SAULO CASALI BAHIA (RELATOR CONVOCADO):</w:t>
      </w:r>
    </w:p>
    <w:p w:rsidR="004B5018" w:rsidRPr="00F811E6" w:rsidRDefault="004B5018" w:rsidP="004B5018">
      <w:pPr>
        <w:pStyle w:val="Cabealho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F811E6">
        <w:rPr>
          <w:rFonts w:ascii="Arial" w:eastAsia="MS Mincho" w:hAnsi="Arial" w:cs="Arial"/>
          <w:bCs/>
        </w:rPr>
        <w:t>A matéria tratada nos presentes autos desafia, como regra, análise de diversas questões.</w:t>
      </w:r>
    </w:p>
    <w:p w:rsidR="004B5018" w:rsidRDefault="004B5018" w:rsidP="004B5018">
      <w:pPr>
        <w:pStyle w:val="Cabealho"/>
        <w:spacing w:line="360" w:lineRule="auto"/>
        <w:ind w:firstLine="1418"/>
        <w:jc w:val="both"/>
        <w:rPr>
          <w:rFonts w:ascii="Arial" w:hAnsi="Arial" w:cs="Arial"/>
        </w:rPr>
      </w:pPr>
      <w:r w:rsidRPr="00F811E6">
        <w:rPr>
          <w:rFonts w:ascii="Arial" w:eastAsia="MS Mincho" w:hAnsi="Arial" w:cs="Arial"/>
          <w:b/>
          <w:bCs/>
        </w:rPr>
        <w:t xml:space="preserve">Remessa necessária. </w:t>
      </w:r>
      <w:r w:rsidRPr="00F811E6">
        <w:rPr>
          <w:rFonts w:ascii="Arial" w:hAnsi="Arial" w:cs="Arial"/>
          <w:lang/>
        </w:rPr>
        <w:t xml:space="preserve">Hipótese que não comporta a remessa necessária, considerando que é possível verificar de plano que a condenação imposta até a data da prolação da sentença não ultrapassa o valor de </w:t>
      </w:r>
      <w:r w:rsidRPr="00F811E6">
        <w:rPr>
          <w:rFonts w:ascii="Arial" w:hAnsi="Arial" w:cs="Arial"/>
        </w:rPr>
        <w:t>1.000</w:t>
      </w:r>
      <w:r w:rsidRPr="00F811E6">
        <w:rPr>
          <w:rFonts w:ascii="Arial" w:hAnsi="Arial" w:cs="Arial"/>
          <w:lang/>
        </w:rPr>
        <w:t xml:space="preserve"> (</w:t>
      </w:r>
      <w:r w:rsidRPr="00F811E6">
        <w:rPr>
          <w:rFonts w:ascii="Arial" w:hAnsi="Arial" w:cs="Arial"/>
        </w:rPr>
        <w:t>mil</w:t>
      </w:r>
      <w:r w:rsidRPr="00F811E6">
        <w:rPr>
          <w:rFonts w:ascii="Arial" w:hAnsi="Arial" w:cs="Arial"/>
          <w:lang/>
        </w:rPr>
        <w:t>) salários mínimos</w:t>
      </w:r>
      <w:r w:rsidRPr="00F811E6">
        <w:rPr>
          <w:rFonts w:ascii="Arial" w:hAnsi="Arial" w:cs="Arial"/>
        </w:rPr>
        <w:t xml:space="preserve">, </w:t>
      </w:r>
      <w:r w:rsidRPr="00F811E6">
        <w:rPr>
          <w:rFonts w:ascii="Arial" w:hAnsi="Arial" w:cs="Arial"/>
          <w:lang/>
        </w:rPr>
        <w:t>nos termos do art. 4</w:t>
      </w:r>
      <w:r w:rsidRPr="00F811E6">
        <w:rPr>
          <w:rFonts w:ascii="Arial" w:hAnsi="Arial" w:cs="Arial"/>
        </w:rPr>
        <w:t>96</w:t>
      </w:r>
      <w:r w:rsidRPr="00F811E6">
        <w:rPr>
          <w:rFonts w:ascii="Arial" w:hAnsi="Arial" w:cs="Arial"/>
          <w:lang/>
        </w:rPr>
        <w:t xml:space="preserve">, </w:t>
      </w:r>
      <w:r w:rsidRPr="00F811E6">
        <w:rPr>
          <w:rFonts w:ascii="Arial" w:hAnsi="Arial" w:cs="Arial"/>
        </w:rPr>
        <w:t xml:space="preserve">§3º, </w:t>
      </w:r>
      <w:r w:rsidRPr="00F811E6">
        <w:rPr>
          <w:rFonts w:ascii="Arial" w:hAnsi="Arial" w:cs="Arial"/>
          <w:lang/>
        </w:rPr>
        <w:t>I do CPC/</w:t>
      </w:r>
      <w:r w:rsidRPr="00F811E6">
        <w:rPr>
          <w:rFonts w:ascii="Arial" w:hAnsi="Arial" w:cs="Arial"/>
        </w:rPr>
        <w:t>15</w:t>
      </w:r>
      <w:r w:rsidRPr="00F811E6">
        <w:rPr>
          <w:rFonts w:ascii="Arial" w:hAnsi="Arial" w:cs="Arial"/>
          <w:lang/>
        </w:rPr>
        <w:t xml:space="preserve">, </w:t>
      </w:r>
      <w:r w:rsidRPr="00F811E6">
        <w:rPr>
          <w:rFonts w:ascii="Arial" w:hAnsi="Arial" w:cs="Arial"/>
        </w:rPr>
        <w:t>vigente à ocasião da prolação da sentença</w:t>
      </w:r>
      <w:r w:rsidRPr="00F811E6">
        <w:rPr>
          <w:rFonts w:ascii="Arial" w:hAnsi="Arial" w:cs="Arial"/>
          <w:lang/>
        </w:rPr>
        <w:t>.</w:t>
      </w:r>
    </w:p>
    <w:p w:rsidR="004B5018" w:rsidRDefault="004B5018" w:rsidP="004B5018">
      <w:pPr>
        <w:pStyle w:val="Pargrafo"/>
        <w:spacing w:before="0" w:after="0" w:line="360" w:lineRule="auto"/>
        <w:rPr>
          <w:rFonts w:cs="Arial"/>
          <w:szCs w:val="22"/>
        </w:rPr>
      </w:pPr>
      <w:r w:rsidRPr="009B5783">
        <w:rPr>
          <w:b/>
          <w:szCs w:val="22"/>
        </w:rPr>
        <w:t xml:space="preserve">Prescrição. </w:t>
      </w:r>
      <w:r>
        <w:rPr>
          <w:szCs w:val="22"/>
        </w:rPr>
        <w:t>Interrompe-se o prazo prescricional na fluência do processo administrativo, de sua propositura e até a comprovada data de ciência da respectiva decisão</w:t>
      </w:r>
      <w:r>
        <w:rPr>
          <w:rFonts w:cs="Arial"/>
          <w:szCs w:val="22"/>
        </w:rPr>
        <w:t>. Assim, são reconhecidas como prescritas apenas as parcelas vencidas no quinquênio anterior ao requerimento administrativo formulado pela parte autora.</w:t>
      </w:r>
    </w:p>
    <w:p w:rsidR="004B5018" w:rsidRPr="00155D21" w:rsidRDefault="004B5018" w:rsidP="004B5018">
      <w:pPr>
        <w:pStyle w:val="Default"/>
        <w:spacing w:line="360" w:lineRule="auto"/>
        <w:ind w:firstLine="1418"/>
        <w:jc w:val="both"/>
        <w:rPr>
          <w:rFonts w:eastAsia="MS Mincho"/>
          <w:b/>
          <w:bCs/>
          <w:sz w:val="22"/>
          <w:szCs w:val="22"/>
        </w:rPr>
      </w:pPr>
      <w:r w:rsidRPr="00155D21">
        <w:rPr>
          <w:rFonts w:eastAsia="MS Mincho"/>
          <w:b/>
          <w:bCs/>
          <w:sz w:val="22"/>
          <w:szCs w:val="22"/>
        </w:rPr>
        <w:t xml:space="preserve">Comprovação da atividade especial. </w:t>
      </w:r>
      <w:r w:rsidRPr="00155D21">
        <w:rPr>
          <w:sz w:val="22"/>
          <w:szCs w:val="22"/>
        </w:rPr>
        <w:t>As condições especiais de trabalho demonstram-se: a) até 28/04/1995 (dia anterior à vigência da Lei nº 9.032/95), pelo enquadramento profissional, ou mediante formulários da própria empresa ou laudos técnicos; b) a partir de 29/04/1995, por formulários próprios (SB-40 e DSS-8030, padronizados pelo INSS), preenchidos pela empresa, ou mediante laudo (todavia, n</w:t>
      </w:r>
      <w:r w:rsidRPr="00155D21">
        <w:rPr>
          <w:rFonts w:eastAsia="MS Mincho"/>
          <w:bCs/>
          <w:sz w:val="22"/>
          <w:szCs w:val="22"/>
        </w:rPr>
        <w:t>o caso do engenheiro civil e do engenheiro eletricista, a sistemática anterior persistiu até 11/10/96, quando foi revogada a Lei 5.527/68 pela MP 1.523/96)</w:t>
      </w:r>
      <w:r w:rsidRPr="00155D21">
        <w:rPr>
          <w:sz w:val="22"/>
          <w:szCs w:val="22"/>
        </w:rPr>
        <w:t xml:space="preserve">; c) a partir da vigência do Decreto nº 2.172/97, publicado em 06/03/1997, por Laudo Técnico de Condições Ambientais do Trabalho (LTCAT), expedido por médico do trabalho ou engenheiro de segurança do trabalho, devendo as empresas, desde então, elaborar e manter Perfil </w:t>
      </w:r>
      <w:proofErr w:type="spellStart"/>
      <w:r w:rsidRPr="00155D21">
        <w:rPr>
          <w:sz w:val="22"/>
          <w:szCs w:val="22"/>
        </w:rPr>
        <w:t>Profissiográfico</w:t>
      </w:r>
      <w:proofErr w:type="spellEnd"/>
      <w:r w:rsidRPr="00155D21">
        <w:rPr>
          <w:sz w:val="22"/>
          <w:szCs w:val="22"/>
        </w:rPr>
        <w:t xml:space="preserve"> Previdenciário (PPP) das atividades desenvolvidas pelos trabalhadores.</w:t>
      </w:r>
    </w:p>
    <w:p w:rsidR="004B5018" w:rsidRPr="00155D21" w:rsidRDefault="004B5018" w:rsidP="004B5018">
      <w:pPr>
        <w:pStyle w:val="Cabealho"/>
        <w:widowControl w:val="0"/>
        <w:spacing w:line="360" w:lineRule="auto"/>
        <w:ind w:firstLine="1418"/>
        <w:jc w:val="both"/>
        <w:rPr>
          <w:rFonts w:ascii="Arial" w:hAnsi="Arial" w:cs="Arial"/>
          <w:bCs/>
        </w:rPr>
      </w:pPr>
      <w:r w:rsidRPr="00155D21">
        <w:rPr>
          <w:rFonts w:ascii="Arial" w:eastAsia="MS Mincho" w:hAnsi="Arial" w:cs="Arial"/>
          <w:bCs/>
        </w:rPr>
        <w:t xml:space="preserve">A exposição a agentes químicos, físicos e biológicos insalubres, </w:t>
      </w:r>
      <w:r w:rsidRPr="00155D21">
        <w:rPr>
          <w:rFonts w:ascii="Arial" w:eastAsia="MS Mincho" w:hAnsi="Arial" w:cs="Arial"/>
        </w:rPr>
        <w:t xml:space="preserve">confere ao trabalhador o direito ao cômputo do tempo de serviço especial, relativamente ao período comprovado, consoante previsão constante dos Decretos 53.831/64 e </w:t>
      </w:r>
      <w:proofErr w:type="gramStart"/>
      <w:r w:rsidRPr="00155D21">
        <w:rPr>
          <w:rFonts w:ascii="Arial" w:eastAsia="MS Mincho" w:hAnsi="Arial" w:cs="Arial"/>
        </w:rPr>
        <w:t>83.080/79, para as atividades desempenhadas até a entrada em vigor do Decreto nº</w:t>
      </w:r>
      <w:proofErr w:type="gramEnd"/>
      <w:r w:rsidRPr="00155D21">
        <w:rPr>
          <w:rFonts w:ascii="Arial" w:eastAsia="MS Mincho" w:hAnsi="Arial" w:cs="Arial"/>
        </w:rPr>
        <w:t xml:space="preserve"> 2.172/97 (cf. art. 292 do Dec. 611/92), e com base nos agentes indicados nos Decretos 2.172/97 e 3.048/99, observados os respectivos períodos de vigência. </w:t>
      </w:r>
    </w:p>
    <w:p w:rsidR="004B5018" w:rsidRDefault="004B5018" w:rsidP="004B5018">
      <w:pPr>
        <w:pStyle w:val="Cabealho"/>
        <w:spacing w:line="360" w:lineRule="auto"/>
        <w:ind w:firstLine="1418"/>
        <w:jc w:val="both"/>
        <w:rPr>
          <w:rFonts w:ascii="Arial" w:hAnsi="Arial" w:cs="Arial"/>
          <w:bCs/>
        </w:rPr>
      </w:pPr>
      <w:r w:rsidRPr="00155D21">
        <w:rPr>
          <w:rFonts w:ascii="Arial" w:eastAsia="MS Mincho" w:hAnsi="Arial" w:cs="Arial"/>
          <w:bCs/>
        </w:rPr>
        <w:t xml:space="preserve">De qualquer modo, mesmo após 06/03/1997 </w:t>
      </w:r>
      <w:r w:rsidRPr="00155D21">
        <w:rPr>
          <w:rFonts w:ascii="Arial" w:hAnsi="Arial" w:cs="Arial"/>
          <w:bCs/>
        </w:rPr>
        <w:t>tem a jurisprudência reconhecido que o formulário PPP, desde que subscrito por engenheiro ou perito responsável pela avaliação das condições de trabalho, pode ser utilizado como prova de trabalho prestado sob condições especiais (vide STF</w:t>
      </w:r>
      <w:proofErr w:type="gramStart"/>
      <w:r w:rsidRPr="00155D21">
        <w:rPr>
          <w:rFonts w:ascii="Arial" w:hAnsi="Arial" w:cs="Arial"/>
          <w:bCs/>
        </w:rPr>
        <w:t>, ARE</w:t>
      </w:r>
      <w:proofErr w:type="gramEnd"/>
      <w:r w:rsidRPr="00155D21">
        <w:rPr>
          <w:rFonts w:ascii="Arial" w:hAnsi="Arial" w:cs="Arial"/>
          <w:bCs/>
        </w:rPr>
        <w:t xml:space="preserve"> 664335, e TNU, </w:t>
      </w:r>
      <w:r w:rsidRPr="00155D21">
        <w:rPr>
          <w:rFonts w:ascii="Arial" w:hAnsi="Arial" w:cs="Arial"/>
        </w:rPr>
        <w:t>PEDILEF 50379486820124047000</w:t>
      </w:r>
      <w:r w:rsidRPr="00155D21">
        <w:rPr>
          <w:rFonts w:ascii="Arial" w:hAnsi="Arial" w:cs="Arial"/>
          <w:bCs/>
        </w:rPr>
        <w:t>).</w:t>
      </w:r>
    </w:p>
    <w:p w:rsidR="004B5018" w:rsidRPr="00155D21" w:rsidRDefault="004B5018" w:rsidP="004B5018">
      <w:pPr>
        <w:pStyle w:val="Cabealho"/>
        <w:widowControl w:val="0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155D21">
        <w:rPr>
          <w:rFonts w:ascii="Arial" w:eastAsia="MS Mincho" w:hAnsi="Arial" w:cs="Arial"/>
          <w:b/>
          <w:bCs/>
        </w:rPr>
        <w:lastRenderedPageBreak/>
        <w:t>Exposição permanente e Lei 9.032/95.</w:t>
      </w:r>
      <w:r w:rsidRPr="00155D21">
        <w:rPr>
          <w:rFonts w:ascii="Arial" w:eastAsia="MS Mincho" w:hAnsi="Arial" w:cs="Arial"/>
          <w:bCs/>
        </w:rPr>
        <w:t xml:space="preserve"> Sabe-se que “não devem receber interpretação retroativa as alterações promovidas, no art. 57 da Lei nº 8.213/91, pela Lei nº 9.032/95, especialmente a regra estabelecida pelo parágrafo terceiro do referido art. 57, que introduziu a exigência do caráter permanente, não ocasional nem intermitente do labor em condições especiais.”</w:t>
      </w:r>
      <w:r w:rsidRPr="00155D21">
        <w:rPr>
          <w:rFonts w:ascii="Arial" w:hAnsi="Arial" w:cs="Arial"/>
        </w:rPr>
        <w:t xml:space="preserve"> </w:t>
      </w:r>
      <w:r w:rsidRPr="00155D21">
        <w:rPr>
          <w:rFonts w:ascii="Arial" w:eastAsia="MS Mincho" w:hAnsi="Arial" w:cs="Arial"/>
          <w:bCs/>
        </w:rPr>
        <w:t>(AC 2001.01.99.041623-9/MG, Rel. Desembargador Federal Carlos Moreira Alves, Segunda Turma, DJ de 12/05/2009, p. 380).</w:t>
      </w:r>
    </w:p>
    <w:p w:rsidR="004B5018" w:rsidRPr="00155D21" w:rsidRDefault="004B5018" w:rsidP="004B5018">
      <w:pPr>
        <w:pStyle w:val="Cabealho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155D21">
        <w:rPr>
          <w:rFonts w:ascii="Arial" w:eastAsia="MS Mincho" w:hAnsi="Arial" w:cs="Arial"/>
          <w:bCs/>
        </w:rPr>
        <w:t>Assim, a exigência legal referente à comprovação sobre ser permanente a exposição aos agentes agressivos somente alcança o tempo de serviço prestado após a entrada em vigor da Lei nº 9.032/95.</w:t>
      </w:r>
    </w:p>
    <w:p w:rsidR="004B5018" w:rsidRDefault="004B5018" w:rsidP="004B5018">
      <w:pPr>
        <w:pStyle w:val="Cabealho"/>
        <w:spacing w:line="360" w:lineRule="auto"/>
        <w:ind w:firstLine="1418"/>
        <w:jc w:val="both"/>
        <w:rPr>
          <w:rFonts w:ascii="Arial" w:hAnsi="Arial" w:cs="Arial"/>
        </w:rPr>
      </w:pPr>
      <w:r w:rsidRPr="00155D21">
        <w:rPr>
          <w:rFonts w:ascii="Arial" w:eastAsia="MS Mincho" w:hAnsi="Arial" w:cs="Arial"/>
          <w:bCs/>
        </w:rPr>
        <w:t xml:space="preserve">De qualquer sorte, a constatação do caráter </w:t>
      </w:r>
      <w:r w:rsidRPr="00155D21">
        <w:rPr>
          <w:rFonts w:ascii="Arial" w:hAnsi="Arial" w:cs="Arial"/>
        </w:rPr>
        <w:t>permanente da atividade especial não exige que o trabalho desempenhado pelo segurado esteja ininterruptamente submetido a um risco para a sua incolumidade.</w:t>
      </w:r>
    </w:p>
    <w:p w:rsidR="004B5018" w:rsidRPr="004E460A" w:rsidRDefault="004B5018" w:rsidP="004B5018">
      <w:pPr>
        <w:pStyle w:val="Cabealho"/>
        <w:spacing w:line="360" w:lineRule="auto"/>
        <w:ind w:firstLine="1418"/>
        <w:jc w:val="both"/>
        <w:rPr>
          <w:rFonts w:ascii="Arial" w:hAnsi="Arial" w:cs="Arial"/>
        </w:rPr>
      </w:pPr>
      <w:r w:rsidRPr="004E460A">
        <w:rPr>
          <w:rFonts w:ascii="Arial" w:eastAsia="MS Mincho" w:hAnsi="Arial" w:cs="Arial"/>
          <w:b/>
          <w:bCs/>
        </w:rPr>
        <w:t>Uso eficaz de EPI.</w:t>
      </w:r>
      <w:r w:rsidRPr="004E460A">
        <w:rPr>
          <w:rFonts w:ascii="Arial" w:eastAsia="MS Mincho" w:hAnsi="Arial" w:cs="Arial"/>
          <w:bCs/>
        </w:rPr>
        <w:t xml:space="preserve"> Os equipamentos de proteção fornecidos aos trabalhadores têm por finalidade proteger a sua saúde, não tendo, entretanto, o condão de descaracterizar </w:t>
      </w:r>
      <w:r w:rsidRPr="004E460A">
        <w:rPr>
          <w:rFonts w:ascii="Arial" w:hAnsi="Arial" w:cs="Arial"/>
        </w:rPr>
        <w:t>a situação de insalubridade ou de periculosidade a que ele está submetido.</w:t>
      </w:r>
    </w:p>
    <w:p w:rsidR="004B5018" w:rsidRPr="004E460A" w:rsidRDefault="004B5018" w:rsidP="004B5018">
      <w:pPr>
        <w:pStyle w:val="Cabealho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4E460A">
        <w:rPr>
          <w:rFonts w:ascii="Arial" w:eastAsia="MS Mincho" w:hAnsi="Arial" w:cs="Arial"/>
          <w:bCs/>
        </w:rPr>
        <w:t xml:space="preserve">Não basta, nesse sentido, a menção da eficácia do equipamento de proteção constante dos chamados Perfis </w:t>
      </w:r>
      <w:proofErr w:type="spellStart"/>
      <w:r w:rsidRPr="004E460A">
        <w:rPr>
          <w:rFonts w:ascii="Arial" w:eastAsia="MS Mincho" w:hAnsi="Arial" w:cs="Arial"/>
          <w:bCs/>
        </w:rPr>
        <w:t>Profissiográficos</w:t>
      </w:r>
      <w:proofErr w:type="spellEnd"/>
      <w:r w:rsidRPr="004E460A">
        <w:rPr>
          <w:rFonts w:ascii="Arial" w:eastAsia="MS Mincho" w:hAnsi="Arial" w:cs="Arial"/>
          <w:bCs/>
        </w:rPr>
        <w:t xml:space="preserve"> Previdenciários – PPP. </w:t>
      </w:r>
    </w:p>
    <w:p w:rsidR="004B5018" w:rsidRPr="004E460A" w:rsidRDefault="004B5018" w:rsidP="004B5018">
      <w:pPr>
        <w:pStyle w:val="Cabealho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4E460A">
        <w:rPr>
          <w:rFonts w:ascii="Arial" w:eastAsia="MS Mincho" w:hAnsi="Arial" w:cs="Arial"/>
          <w:bCs/>
        </w:rPr>
        <w:t>Mais, no caso específico do agente agressivo ruído, a firme posição desta Corte é no sentido de que o fornecimento dos Equipamentos de Proteção Individual não afasta a insalubridade do labor:</w:t>
      </w:r>
    </w:p>
    <w:p w:rsidR="004B5018" w:rsidRDefault="004B5018" w:rsidP="004B5018">
      <w:pPr>
        <w:pStyle w:val="Cabealho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4E460A">
        <w:rPr>
          <w:rFonts w:ascii="Arial" w:eastAsia="MS Mincho" w:hAnsi="Arial" w:cs="Arial"/>
          <w:bCs/>
        </w:rPr>
        <w:t xml:space="preserve"> Nesse sentido e dentre outros:</w:t>
      </w:r>
    </w:p>
    <w:p w:rsidR="004B5018" w:rsidRPr="004E460A" w:rsidRDefault="004B5018" w:rsidP="004B5018">
      <w:pPr>
        <w:pStyle w:val="Cabealho"/>
        <w:ind w:firstLine="1134"/>
        <w:jc w:val="both"/>
        <w:rPr>
          <w:rFonts w:ascii="Arial" w:eastAsia="MS Mincho" w:hAnsi="Arial" w:cs="Arial"/>
          <w:bCs/>
        </w:rPr>
      </w:pPr>
    </w:p>
    <w:p w:rsidR="004B5018" w:rsidRPr="00AB7016" w:rsidRDefault="004B5018" w:rsidP="004B5018">
      <w:pPr>
        <w:pStyle w:val="Transcrio"/>
        <w:spacing w:before="0" w:after="0"/>
        <w:rPr>
          <w:rFonts w:eastAsia="MS Mincho" w:cs="Arial"/>
          <w:sz w:val="20"/>
          <w:szCs w:val="20"/>
        </w:rPr>
      </w:pPr>
      <w:r w:rsidRPr="00AB7016">
        <w:rPr>
          <w:rFonts w:eastAsia="MS Mincho" w:cs="Arial"/>
          <w:sz w:val="20"/>
          <w:szCs w:val="20"/>
        </w:rPr>
        <w:t>PREVIDENCIÁRIO. TEMPO LABORADO EM CONDIÇÕES ESPECIAIS. RUÍDO. LEGISLAÇÃO VIGENTE. UTILIZAÇÃO DE EPI. NÃO DESCARACTERIZAÇÃO DA ATIVIDADE ESPECIAL. APOSENTADORIA ESPECIAL. DIREITO AO BENEFÍCIO. JUROS. CORREÇÃO MONETÁRIA. HONORÁRIOS. ()</w:t>
      </w:r>
    </w:p>
    <w:p w:rsidR="004B5018" w:rsidRPr="00AB7016" w:rsidRDefault="004B5018" w:rsidP="004B5018">
      <w:pPr>
        <w:pStyle w:val="Transcrio"/>
        <w:spacing w:before="0" w:after="0"/>
        <w:rPr>
          <w:rFonts w:eastAsia="MS Mincho" w:cs="Arial"/>
          <w:sz w:val="20"/>
          <w:szCs w:val="20"/>
        </w:rPr>
      </w:pPr>
      <w:r w:rsidRPr="00AB7016">
        <w:rPr>
          <w:rFonts w:eastAsia="MS Mincho" w:cs="Arial"/>
          <w:sz w:val="20"/>
          <w:szCs w:val="20"/>
        </w:rPr>
        <w:t xml:space="preserve">5. Quanto ao agente nocivo ruído, considera-se especial a atividade exercida com exposição a ruídos superiores a 80 decibéis até 05/03/97 (Súmula nº 29 da AGU), desde que aferidos esses níveis de pressão sonora por meio de perícia técnica, trazida aos autos ou noticiada no preenchimento de formulário expedido pelo empregador. </w:t>
      </w:r>
    </w:p>
    <w:p w:rsidR="004B5018" w:rsidRPr="00AB7016" w:rsidRDefault="004B5018" w:rsidP="004B5018">
      <w:pPr>
        <w:pStyle w:val="Transcrio"/>
        <w:spacing w:before="0" w:after="0"/>
        <w:rPr>
          <w:rFonts w:eastAsia="MS Mincho" w:cs="Arial"/>
          <w:sz w:val="20"/>
          <w:szCs w:val="20"/>
        </w:rPr>
      </w:pPr>
      <w:r w:rsidRPr="00AB7016">
        <w:rPr>
          <w:rFonts w:eastAsia="MS Mincho" w:cs="Arial"/>
          <w:sz w:val="20"/>
          <w:szCs w:val="20"/>
        </w:rPr>
        <w:t>(...)</w:t>
      </w:r>
    </w:p>
    <w:p w:rsidR="004B5018" w:rsidRPr="00AB7016" w:rsidRDefault="004B5018" w:rsidP="004B5018">
      <w:pPr>
        <w:pStyle w:val="Transcrio"/>
        <w:spacing w:before="0" w:after="0"/>
        <w:rPr>
          <w:rFonts w:eastAsia="MS Mincho" w:cs="Arial"/>
          <w:sz w:val="20"/>
          <w:szCs w:val="20"/>
        </w:rPr>
      </w:pPr>
      <w:r w:rsidRPr="00AB7016">
        <w:rPr>
          <w:rFonts w:eastAsia="MS Mincho" w:cs="Arial"/>
          <w:sz w:val="20"/>
          <w:szCs w:val="20"/>
        </w:rPr>
        <w:t>8. O fornecimento de equipamentos de proteção individual - EPI ao empregado não é suficiente para afastar o caráter insalubre da prestação do trabalho, tendo em vista que o uso de tais equipamentos pode atenuar o ruído, mas não afastar o enquadramento da atividade como insalubre. Precedentes.</w:t>
      </w:r>
    </w:p>
    <w:p w:rsidR="004B5018" w:rsidRPr="00AB7016" w:rsidRDefault="004B5018" w:rsidP="004B5018">
      <w:pPr>
        <w:pStyle w:val="Transcrio"/>
        <w:spacing w:before="0" w:after="0"/>
        <w:rPr>
          <w:rFonts w:eastAsia="MS Mincho" w:cs="Arial"/>
          <w:i w:val="0"/>
          <w:sz w:val="20"/>
          <w:szCs w:val="20"/>
        </w:rPr>
      </w:pPr>
      <w:r w:rsidRPr="00AB7016">
        <w:rPr>
          <w:rFonts w:eastAsia="MS Mincho" w:cs="Arial"/>
          <w:sz w:val="20"/>
          <w:szCs w:val="20"/>
        </w:rPr>
        <w:t>(AC 0013423-75.2008.4.01.3300/BA, Rel. DESEMBARGADORA FEDERAL ÂNGELA CATÃO, PRIMEIRA TURMA, e-DJF1 p.193 de 06/11/2012</w:t>
      </w:r>
      <w:proofErr w:type="gramStart"/>
      <w:r w:rsidRPr="00AB7016">
        <w:rPr>
          <w:rFonts w:eastAsia="MS Mincho" w:cs="Arial"/>
          <w:sz w:val="20"/>
          <w:szCs w:val="20"/>
        </w:rPr>
        <w:t>)</w:t>
      </w:r>
      <w:proofErr w:type="gramEnd"/>
    </w:p>
    <w:p w:rsidR="004B5018" w:rsidRDefault="004B5018" w:rsidP="004B5018">
      <w:pPr>
        <w:pStyle w:val="ementa"/>
        <w:spacing w:before="0" w:after="0" w:line="360" w:lineRule="auto"/>
        <w:ind w:firstLine="1418"/>
        <w:rPr>
          <w:rFonts w:cs="Arial"/>
          <w:bCs/>
          <w:szCs w:val="22"/>
        </w:rPr>
      </w:pPr>
    </w:p>
    <w:p w:rsidR="004B5018" w:rsidRPr="00AB7016" w:rsidRDefault="004B5018" w:rsidP="004B5018">
      <w:pPr>
        <w:pStyle w:val="ementa"/>
        <w:spacing w:before="0" w:after="0" w:line="360" w:lineRule="auto"/>
        <w:ind w:firstLine="1418"/>
        <w:rPr>
          <w:rFonts w:eastAsia="MS Mincho" w:cs="Arial"/>
          <w:b/>
          <w:bCs/>
          <w:szCs w:val="22"/>
        </w:rPr>
      </w:pPr>
      <w:r w:rsidRPr="00AB7016">
        <w:rPr>
          <w:rFonts w:cs="Arial"/>
          <w:bCs/>
          <w:szCs w:val="22"/>
        </w:rPr>
        <w:t xml:space="preserve">O tema também já foi definitivamente enfrentado no âmbito do STF, que </w:t>
      </w:r>
      <w:proofErr w:type="gramStart"/>
      <w:r w:rsidRPr="00AB7016">
        <w:rPr>
          <w:rFonts w:cs="Arial"/>
          <w:bCs/>
          <w:szCs w:val="22"/>
        </w:rPr>
        <w:t>concluiu,</w:t>
      </w:r>
      <w:proofErr w:type="gramEnd"/>
      <w:r w:rsidRPr="00AB7016">
        <w:rPr>
          <w:rFonts w:cs="Arial"/>
          <w:bCs/>
          <w:szCs w:val="22"/>
        </w:rPr>
        <w:t xml:space="preserve"> em repercussão geral, que </w:t>
      </w:r>
      <w:r w:rsidRPr="00AB7016">
        <w:rPr>
          <w:rFonts w:cs="Arial"/>
          <w:i/>
          <w:szCs w:val="22"/>
        </w:rPr>
        <w:t xml:space="preserve">“na hipótese de exposição do trabalhador a ruído acima dos limites legais de tolerância, a declaração do empregador, no âmbito do Perfil </w:t>
      </w:r>
      <w:proofErr w:type="spellStart"/>
      <w:r w:rsidRPr="00AB7016">
        <w:rPr>
          <w:rFonts w:cs="Arial"/>
          <w:i/>
          <w:szCs w:val="22"/>
        </w:rPr>
        <w:t>Profissiográfico</w:t>
      </w:r>
      <w:proofErr w:type="spellEnd"/>
      <w:r w:rsidRPr="00AB7016">
        <w:rPr>
          <w:rFonts w:cs="Arial"/>
          <w:i/>
          <w:szCs w:val="22"/>
        </w:rPr>
        <w:t xml:space="preserve"> </w:t>
      </w:r>
      <w:r w:rsidRPr="00AB7016">
        <w:rPr>
          <w:rFonts w:cs="Arial"/>
          <w:i/>
          <w:szCs w:val="22"/>
        </w:rPr>
        <w:lastRenderedPageBreak/>
        <w:t>Previdenciário (PPP), no sentido da eficácia do Equipamento de Proteção Individual - EPI, não descaracteriza o tempo de serviço especial para aposentadoria.</w:t>
      </w:r>
      <w:r w:rsidRPr="00AB7016">
        <w:rPr>
          <w:rFonts w:cs="Arial"/>
          <w:szCs w:val="22"/>
        </w:rPr>
        <w:t>” (ARE 664335, LUIZ FUX, STF.)</w:t>
      </w:r>
    </w:p>
    <w:p w:rsidR="004B5018" w:rsidRPr="00AB7016" w:rsidRDefault="004B5018" w:rsidP="004B5018">
      <w:pPr>
        <w:pStyle w:val="Cabealho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AB7016">
        <w:rPr>
          <w:rFonts w:ascii="Arial" w:hAnsi="Arial" w:cs="Arial"/>
        </w:rPr>
        <w:t>Aliás, o próprio INSS reconhece que a simples utilização do EPI não afasta o risco do trabalhador, na forma de suas Instruções Normativas nº 42/2001 (</w:t>
      </w:r>
      <w:r w:rsidRPr="00AB7016">
        <w:rPr>
          <w:rFonts w:ascii="Arial" w:eastAsia="MS Mincho" w:hAnsi="Arial" w:cs="Arial"/>
          <w:bCs/>
          <w:i/>
        </w:rPr>
        <w:t>Art. 19. A utilização de equipamento de proteção não descaracteriza o enquadramento da atividade</w:t>
      </w:r>
      <w:r w:rsidRPr="00AB7016">
        <w:rPr>
          <w:rFonts w:ascii="Arial" w:eastAsia="MS Mincho" w:hAnsi="Arial" w:cs="Arial"/>
          <w:bCs/>
        </w:rPr>
        <w:t xml:space="preserve">) </w:t>
      </w:r>
      <w:r w:rsidRPr="00AB7016">
        <w:rPr>
          <w:rFonts w:ascii="Arial" w:hAnsi="Arial" w:cs="Arial"/>
        </w:rPr>
        <w:t>e 78/2002 (</w:t>
      </w:r>
      <w:r w:rsidRPr="00AB7016">
        <w:rPr>
          <w:rFonts w:ascii="Arial" w:eastAsia="MS Mincho" w:hAnsi="Arial" w:cs="Arial"/>
          <w:bCs/>
          <w:i/>
        </w:rPr>
        <w:t xml:space="preserve">Art. 159. A simples informação da existência de EPI ou de EPC, por si só, não descaracteriza o enquadramento da atividade. No caso de indicação de uso de EPI, deve ser analisada também a efetiva utilização dos mesmos durante toda a jornada de trabalho, bem como, analisadas as condições de conservação, higienização periódica e substituições </w:t>
      </w:r>
      <w:proofErr w:type="gramStart"/>
      <w:r w:rsidRPr="00AB7016">
        <w:rPr>
          <w:rFonts w:ascii="Arial" w:eastAsia="MS Mincho" w:hAnsi="Arial" w:cs="Arial"/>
          <w:bCs/>
          <w:i/>
        </w:rPr>
        <w:t>a</w:t>
      </w:r>
      <w:proofErr w:type="gramEnd"/>
      <w:r w:rsidRPr="00AB7016">
        <w:rPr>
          <w:rFonts w:ascii="Arial" w:eastAsia="MS Mincho" w:hAnsi="Arial" w:cs="Arial"/>
          <w:bCs/>
          <w:i/>
        </w:rPr>
        <w:t xml:space="preserve"> tempos regulares, na dependência da vida útil dos mesmos, cabendo a empresa explicitar essas informações no LTCAT/PPP</w:t>
      </w:r>
      <w:r w:rsidRPr="00AB7016">
        <w:rPr>
          <w:rFonts w:ascii="Arial" w:eastAsia="MS Mincho" w:hAnsi="Arial" w:cs="Arial"/>
          <w:bCs/>
        </w:rPr>
        <w:t>).</w:t>
      </w:r>
    </w:p>
    <w:p w:rsidR="004B5018" w:rsidRPr="00AB7016" w:rsidRDefault="004B5018" w:rsidP="004B5018">
      <w:pPr>
        <w:pStyle w:val="Cabealho"/>
        <w:spacing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AB7016">
        <w:rPr>
          <w:rFonts w:ascii="Arial" w:eastAsia="MS Mincho" w:hAnsi="Arial" w:cs="Arial"/>
          <w:bCs/>
        </w:rPr>
        <w:t xml:space="preserve">Enfim, no </w:t>
      </w:r>
      <w:r w:rsidRPr="00AB7016">
        <w:rPr>
          <w:rFonts w:ascii="Arial" w:hAnsi="Arial" w:cs="Arial"/>
        </w:rPr>
        <w:t>ARE 664335, como primeira tese no julgamento referido, o STF afirmou que o direito à aposentadoria especial pressupõe a efetiva exposição do trabalhador a agente nocivo a sua saúde, de modo que, apenas se comprovadamente demonstrado que o Equipamento de Proteção Individual (EPI) é realmente capaz de neutralizar por inteiro qualquer nocividade, não haveria respaldo constitucional à aposentadoria especial.</w:t>
      </w:r>
    </w:p>
    <w:p w:rsidR="004B5018" w:rsidRDefault="004B5018" w:rsidP="004B5018">
      <w:pPr>
        <w:pStyle w:val="Cabealho"/>
        <w:widowControl w:val="0"/>
        <w:spacing w:line="360" w:lineRule="auto"/>
        <w:ind w:firstLine="1440"/>
        <w:jc w:val="both"/>
        <w:rPr>
          <w:rFonts w:ascii="Arial" w:eastAsia="MS Mincho" w:hAnsi="Arial" w:cs="Arial"/>
          <w:bCs/>
        </w:rPr>
      </w:pPr>
      <w:r w:rsidRPr="00155D21">
        <w:rPr>
          <w:rFonts w:ascii="Arial" w:eastAsia="MS Mincho" w:hAnsi="Arial" w:cs="Arial"/>
          <w:b/>
          <w:bCs/>
        </w:rPr>
        <w:t>Do caso concreto</w:t>
      </w:r>
      <w:r>
        <w:rPr>
          <w:rFonts w:ascii="Arial" w:eastAsia="MS Mincho" w:hAnsi="Arial" w:cs="Arial"/>
          <w:b/>
          <w:bCs/>
        </w:rPr>
        <w:t xml:space="preserve">. </w:t>
      </w:r>
      <w:r w:rsidRPr="001B688D">
        <w:rPr>
          <w:rFonts w:ascii="Arial" w:eastAsia="MS Mincho" w:hAnsi="Arial" w:cs="Arial"/>
          <w:bCs/>
        </w:rPr>
        <w:t xml:space="preserve">O objeto do apelo </w:t>
      </w:r>
      <w:r>
        <w:rPr>
          <w:rFonts w:ascii="Arial" w:eastAsia="MS Mincho" w:hAnsi="Arial" w:cs="Arial"/>
          <w:bCs/>
        </w:rPr>
        <w:t xml:space="preserve">do INSS </w:t>
      </w:r>
      <w:r w:rsidRPr="001B688D">
        <w:rPr>
          <w:rFonts w:ascii="Arial" w:eastAsia="MS Mincho" w:hAnsi="Arial" w:cs="Arial"/>
          <w:bCs/>
        </w:rPr>
        <w:t xml:space="preserve">cinge-se </w:t>
      </w:r>
      <w:r>
        <w:rPr>
          <w:rFonts w:ascii="Arial" w:eastAsia="MS Mincho" w:hAnsi="Arial" w:cs="Arial"/>
          <w:bCs/>
        </w:rPr>
        <w:t xml:space="preserve">a legalidade do indeferimento administrativo quanto </w:t>
      </w:r>
      <w:r w:rsidRPr="001B688D">
        <w:rPr>
          <w:rFonts w:ascii="Arial" w:eastAsia="MS Mincho" w:hAnsi="Arial" w:cs="Arial"/>
          <w:bCs/>
        </w:rPr>
        <w:t xml:space="preserve">ao reconhecimento da atividade exercida </w:t>
      </w:r>
      <w:proofErr w:type="gramStart"/>
      <w:r w:rsidRPr="001B688D">
        <w:rPr>
          <w:rFonts w:ascii="Arial" w:eastAsia="MS Mincho" w:hAnsi="Arial" w:cs="Arial"/>
          <w:bCs/>
        </w:rPr>
        <w:t>sob condições</w:t>
      </w:r>
      <w:proofErr w:type="gramEnd"/>
      <w:r w:rsidRPr="001B688D">
        <w:rPr>
          <w:rFonts w:ascii="Arial" w:eastAsia="MS Mincho" w:hAnsi="Arial" w:cs="Arial"/>
          <w:bCs/>
        </w:rPr>
        <w:t xml:space="preserve"> especiais pelo autor, no período compreendido entre</w:t>
      </w:r>
      <w:r>
        <w:rPr>
          <w:rFonts w:ascii="Arial" w:eastAsia="MS Mincho" w:hAnsi="Arial" w:cs="Arial"/>
          <w:bCs/>
        </w:rPr>
        <w:t xml:space="preserve"> 01/03/85 a 01/04/95</w:t>
      </w:r>
      <w:r w:rsidRPr="001D384E">
        <w:rPr>
          <w:rFonts w:ascii="Arial" w:eastAsia="MS Mincho" w:hAnsi="Arial" w:cs="Arial"/>
          <w:bCs/>
        </w:rPr>
        <w:t xml:space="preserve">, ao argumento </w:t>
      </w:r>
      <w:r>
        <w:rPr>
          <w:rFonts w:ascii="Arial" w:eastAsia="MS Mincho" w:hAnsi="Arial" w:cs="Arial"/>
          <w:bCs/>
        </w:rPr>
        <w:t xml:space="preserve">de que </w:t>
      </w:r>
      <w:r w:rsidRPr="006143C7">
        <w:rPr>
          <w:rFonts w:ascii="Arial" w:eastAsia="MS Mincho" w:hAnsi="Arial" w:cs="Arial"/>
          <w:bCs/>
          <w:i/>
        </w:rPr>
        <w:t>o autor exerce atividade de maneira não permanente, não habitual, não atendendo, portanto, ao disposto no art. 57, da Lei 8.213/91</w:t>
      </w:r>
      <w:r w:rsidRPr="006143C7">
        <w:rPr>
          <w:rFonts w:ascii="Arial" w:eastAsia="MS Mincho" w:hAnsi="Arial" w:cs="Arial"/>
          <w:bCs/>
        </w:rPr>
        <w:t>,</w:t>
      </w:r>
      <w:r>
        <w:rPr>
          <w:rFonts w:ascii="Arial" w:eastAsia="MS Mincho" w:hAnsi="Arial" w:cs="Arial"/>
          <w:bCs/>
        </w:rPr>
        <w:t xml:space="preserve"> bem como, em razão de alegada utilização de equipamento de proteção individual eficaz. Por sua vez, insurge-se a parte autora em face da prescrição e da regulamentação de juros, </w:t>
      </w:r>
      <w:proofErr w:type="gramStart"/>
      <w:r>
        <w:rPr>
          <w:rFonts w:ascii="Arial" w:eastAsia="MS Mincho" w:hAnsi="Arial" w:cs="Arial"/>
          <w:bCs/>
        </w:rPr>
        <w:t>correção monetária e honorários</w:t>
      </w:r>
      <w:proofErr w:type="gramEnd"/>
      <w:r>
        <w:rPr>
          <w:rFonts w:ascii="Arial" w:eastAsia="MS Mincho" w:hAnsi="Arial" w:cs="Arial"/>
          <w:bCs/>
        </w:rPr>
        <w:t xml:space="preserve"> </w:t>
      </w:r>
      <w:proofErr w:type="spellStart"/>
      <w:r>
        <w:rPr>
          <w:rFonts w:ascii="Arial" w:eastAsia="MS Mincho" w:hAnsi="Arial" w:cs="Arial"/>
          <w:bCs/>
        </w:rPr>
        <w:t>sucumbenciais</w:t>
      </w:r>
      <w:proofErr w:type="spellEnd"/>
      <w:r>
        <w:rPr>
          <w:rFonts w:ascii="Arial" w:eastAsia="MS Mincho" w:hAnsi="Arial" w:cs="Arial"/>
          <w:bCs/>
        </w:rPr>
        <w:t>.</w:t>
      </w:r>
    </w:p>
    <w:p w:rsidR="004B5018" w:rsidRDefault="004B5018" w:rsidP="004B5018">
      <w:pPr>
        <w:pStyle w:val="Cabealho"/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eastAsia="MS Mincho" w:hAnsi="Arial" w:cs="Arial"/>
          <w:bCs/>
        </w:rPr>
        <w:t xml:space="preserve">No que tange à apelação da autarquia previdenciária, o PPP (fls. 80) e laudo técnico (fls. 11, 82 e 103) revelam que no período questionado, o autor laborou junto à empresa Real Sociedade Espanhola de </w:t>
      </w:r>
      <w:proofErr w:type="spellStart"/>
      <w:r>
        <w:rPr>
          <w:rFonts w:ascii="Arial" w:eastAsia="MS Mincho" w:hAnsi="Arial" w:cs="Arial"/>
          <w:bCs/>
        </w:rPr>
        <w:t>Beneficencia</w:t>
      </w:r>
      <w:proofErr w:type="spellEnd"/>
      <w:r>
        <w:rPr>
          <w:rFonts w:ascii="Arial" w:eastAsia="MS Mincho" w:hAnsi="Arial" w:cs="Arial"/>
          <w:bCs/>
        </w:rPr>
        <w:t>, na função de “supervisor de controle do imobilizado”, exercendo atividades de</w:t>
      </w:r>
      <w:r>
        <w:rPr>
          <w:rFonts w:ascii="Arial" w:hAnsi="Arial" w:cs="Arial"/>
          <w:color w:val="000000"/>
        </w:rPr>
        <w:t xml:space="preserve"> </w:t>
      </w:r>
      <w:r w:rsidRPr="005513C4">
        <w:rPr>
          <w:rFonts w:ascii="Arial" w:hAnsi="Arial" w:cs="Arial"/>
          <w:i/>
          <w:color w:val="000000"/>
        </w:rPr>
        <w:t xml:space="preserve">“serviços de manutenção de equipamentos hospitalares, tais como: estetoscópios, </w:t>
      </w:r>
      <w:proofErr w:type="spellStart"/>
      <w:r w:rsidRPr="005513C4">
        <w:rPr>
          <w:rFonts w:ascii="Arial" w:hAnsi="Arial" w:cs="Arial"/>
          <w:i/>
          <w:color w:val="000000"/>
        </w:rPr>
        <w:t>tensiômetros</w:t>
      </w:r>
      <w:proofErr w:type="spellEnd"/>
      <w:r w:rsidRPr="005513C4">
        <w:rPr>
          <w:rFonts w:ascii="Arial" w:hAnsi="Arial" w:cs="Arial"/>
          <w:i/>
          <w:color w:val="000000"/>
        </w:rPr>
        <w:t xml:space="preserve">, instrumental cirúrgico, autoclaves, respiradores, incubadoras e outros, na execução das atividades mantinha contrato permanente com equipamentos utilizados em pacientes internados, portadores de doenças de diversas etiologias bem como objetos e utensílios de uso desses pacientes, não previamente </w:t>
      </w:r>
      <w:proofErr w:type="spellStart"/>
      <w:r w:rsidRPr="005513C4">
        <w:rPr>
          <w:rFonts w:ascii="Arial" w:hAnsi="Arial" w:cs="Arial"/>
          <w:i/>
          <w:color w:val="000000"/>
        </w:rPr>
        <w:t>esterelizados</w:t>
      </w:r>
      <w:proofErr w:type="spellEnd"/>
      <w:r w:rsidRPr="005513C4">
        <w:rPr>
          <w:rFonts w:ascii="Arial" w:hAnsi="Arial" w:cs="Arial"/>
          <w:i/>
          <w:color w:val="000000"/>
        </w:rPr>
        <w:t>; frequentemente os aparelhos vinham impregnados com sangue e secreções expelidas pelos pacientes</w:t>
      </w:r>
      <w:r>
        <w:rPr>
          <w:rFonts w:ascii="Arial" w:hAnsi="Arial" w:cs="Arial"/>
          <w:i/>
          <w:color w:val="000000"/>
        </w:rPr>
        <w:t xml:space="preserve">, </w:t>
      </w:r>
      <w:r>
        <w:rPr>
          <w:rFonts w:ascii="Arial" w:eastAsia="MS Mincho" w:hAnsi="Arial" w:cs="Arial"/>
          <w:bCs/>
        </w:rPr>
        <w:t xml:space="preserve">com exposição a </w:t>
      </w:r>
      <w:r>
        <w:rPr>
          <w:rFonts w:ascii="Arial" w:eastAsia="MS Mincho" w:hAnsi="Arial" w:cs="Arial"/>
          <w:bCs/>
        </w:rPr>
        <w:lastRenderedPageBreak/>
        <w:t>agentes nocivos biológicos – h</w:t>
      </w:r>
      <w:r w:rsidRPr="00054ACE">
        <w:rPr>
          <w:rFonts w:ascii="Arial" w:hAnsi="Arial" w:cs="Arial"/>
          <w:color w:val="000000"/>
        </w:rPr>
        <w:t xml:space="preserve">erpes </w:t>
      </w:r>
      <w:proofErr w:type="spellStart"/>
      <w:r>
        <w:rPr>
          <w:rFonts w:ascii="Arial" w:hAnsi="Arial" w:cs="Arial"/>
          <w:color w:val="000000"/>
        </w:rPr>
        <w:t>z</w:t>
      </w:r>
      <w:r w:rsidRPr="00054ACE">
        <w:rPr>
          <w:rFonts w:ascii="Arial" w:hAnsi="Arial" w:cs="Arial"/>
          <w:color w:val="000000"/>
        </w:rPr>
        <w:t>ooster</w:t>
      </w:r>
      <w:proofErr w:type="spellEnd"/>
      <w:r w:rsidRPr="00054ACE">
        <w:rPr>
          <w:rFonts w:ascii="Arial" w:hAnsi="Arial" w:cs="Arial"/>
          <w:color w:val="000000"/>
        </w:rPr>
        <w:t>, tuberculose, hepatite, HIV, bactérias, fungos</w:t>
      </w:r>
      <w:r>
        <w:rPr>
          <w:rFonts w:ascii="Arial" w:hAnsi="Arial" w:cs="Arial"/>
          <w:color w:val="000000"/>
        </w:rPr>
        <w:t xml:space="preserve"> e outros. Ademais, diversamente do alegado pelo recorrente, consta no laudo que a exposição se dava de forma habitual e permanente, não eventual nem intermitente e, consoante já consignado nesta peça, </w:t>
      </w:r>
      <w:proofErr w:type="gramStart"/>
      <w:r w:rsidRPr="00155D21">
        <w:rPr>
          <w:rFonts w:ascii="Arial" w:eastAsia="MS Mincho" w:hAnsi="Arial" w:cs="Arial"/>
          <w:bCs/>
        </w:rPr>
        <w:t>a</w:t>
      </w:r>
      <w:proofErr w:type="gramEnd"/>
      <w:r w:rsidRPr="00155D21">
        <w:rPr>
          <w:rFonts w:ascii="Arial" w:eastAsia="MS Mincho" w:hAnsi="Arial" w:cs="Arial"/>
          <w:bCs/>
        </w:rPr>
        <w:t xml:space="preserve"> constatação do caráter </w:t>
      </w:r>
      <w:r w:rsidRPr="00155D21">
        <w:rPr>
          <w:rFonts w:ascii="Arial" w:hAnsi="Arial" w:cs="Arial"/>
        </w:rPr>
        <w:t>permanente da atividade especial não exige que o trabalho desempenhado pelo segurado esteja ininterruptamente submetido a um risco para a sua incolumidade.</w:t>
      </w:r>
    </w:p>
    <w:p w:rsidR="004B5018" w:rsidRDefault="004B5018" w:rsidP="004B5018">
      <w:pPr>
        <w:pStyle w:val="Cabealho"/>
        <w:widowControl w:val="0"/>
        <w:spacing w:line="360" w:lineRule="auto"/>
        <w:ind w:firstLine="144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Registre-se, ainda, que inobstante a utilização de equipamentos de proteção individual fornecidos pela empresa, consta dos referidos laudos que </w:t>
      </w:r>
      <w:r w:rsidRPr="005513C4">
        <w:rPr>
          <w:rFonts w:ascii="Arial" w:hAnsi="Arial" w:cs="Arial"/>
          <w:i/>
          <w:color w:val="000000"/>
        </w:rPr>
        <w:t>“não são suficientes para eliminar os riscos de contaminação biológica em sua totalidade, seja por deficiência ou desgaste dos equipamentos de proteção”</w:t>
      </w:r>
      <w:r>
        <w:rPr>
          <w:rFonts w:ascii="Arial" w:hAnsi="Arial" w:cs="Arial"/>
          <w:color w:val="000000"/>
        </w:rPr>
        <w:t xml:space="preserve"> (item 9 – fls.</w:t>
      </w:r>
      <w:proofErr w:type="gramStart"/>
      <w:r>
        <w:rPr>
          <w:rFonts w:ascii="Arial" w:hAnsi="Arial" w:cs="Arial"/>
          <w:color w:val="000000"/>
        </w:rPr>
        <w:t>11v</w:t>
      </w:r>
      <w:proofErr w:type="gramEnd"/>
      <w:r>
        <w:rPr>
          <w:rFonts w:ascii="Arial" w:hAnsi="Arial" w:cs="Arial"/>
          <w:color w:val="000000"/>
        </w:rPr>
        <w:t xml:space="preserve">). </w:t>
      </w:r>
    </w:p>
    <w:p w:rsidR="004B5018" w:rsidRDefault="004B5018" w:rsidP="004B5018">
      <w:pPr>
        <w:pStyle w:val="Cabealho"/>
        <w:widowControl w:val="0"/>
        <w:spacing w:line="360" w:lineRule="auto"/>
        <w:ind w:firstLine="1440"/>
        <w:jc w:val="both"/>
        <w:rPr>
          <w:rFonts w:ascii="Arial" w:eastAsia="MS Mincho" w:hAnsi="Arial" w:cs="Arial"/>
          <w:bCs/>
        </w:rPr>
      </w:pPr>
      <w:r>
        <w:rPr>
          <w:rFonts w:ascii="Arial" w:hAnsi="Arial" w:cs="Arial"/>
          <w:color w:val="000000"/>
        </w:rPr>
        <w:t xml:space="preserve">Assim sendo, faz jus </w:t>
      </w:r>
      <w:proofErr w:type="gramStart"/>
      <w:r>
        <w:rPr>
          <w:rFonts w:ascii="Arial" w:hAnsi="Arial" w:cs="Arial"/>
          <w:color w:val="000000"/>
        </w:rPr>
        <w:t>a</w:t>
      </w:r>
      <w:proofErr w:type="gramEnd"/>
      <w:r>
        <w:rPr>
          <w:rFonts w:ascii="Arial" w:hAnsi="Arial" w:cs="Arial"/>
          <w:color w:val="000000"/>
        </w:rPr>
        <w:t xml:space="preserve"> parte autora ao enquadramento do tempo de serviço prestado no período de </w:t>
      </w:r>
      <w:r>
        <w:rPr>
          <w:rFonts w:ascii="Arial" w:eastAsia="MS Mincho" w:hAnsi="Arial" w:cs="Arial"/>
          <w:bCs/>
        </w:rPr>
        <w:t xml:space="preserve">01/03/85 a 01/04/95 como atividade especial, ante a exposição a agentes nocivos (item 1.3.4 do Anexo I do Decreto n. 83.080/79 e item 1.3.2 do Decreto n. 53.831/64). </w:t>
      </w:r>
    </w:p>
    <w:p w:rsidR="004B5018" w:rsidRDefault="004B5018" w:rsidP="004B5018">
      <w:pPr>
        <w:pStyle w:val="Cabealho"/>
        <w:widowControl w:val="0"/>
        <w:spacing w:line="360" w:lineRule="auto"/>
        <w:ind w:firstLine="1440"/>
        <w:jc w:val="both"/>
        <w:rPr>
          <w:rFonts w:ascii="Arial" w:eastAsia="MS Mincho" w:hAnsi="Arial" w:cs="Arial"/>
          <w:bCs/>
        </w:rPr>
      </w:pPr>
      <w:r>
        <w:rPr>
          <w:rFonts w:ascii="Arial" w:eastAsia="MS Mincho" w:hAnsi="Arial" w:cs="Arial"/>
          <w:bCs/>
        </w:rPr>
        <w:t>Desse modo, a</w:t>
      </w:r>
      <w:r>
        <w:rPr>
          <w:rFonts w:ascii="Arial" w:hAnsi="Arial" w:cs="Arial"/>
          <w:color w:val="000000"/>
        </w:rPr>
        <w:t xml:space="preserve"> manutenção da sentença é medida que se impõe.</w:t>
      </w:r>
    </w:p>
    <w:p w:rsidR="004B5018" w:rsidRDefault="004B5018" w:rsidP="004B5018">
      <w:pPr>
        <w:pStyle w:val="Cabealho"/>
        <w:widowControl w:val="0"/>
        <w:spacing w:line="360" w:lineRule="auto"/>
        <w:ind w:firstLine="1418"/>
        <w:jc w:val="both"/>
        <w:rPr>
          <w:rFonts w:ascii="Arial" w:hAnsi="Arial" w:cs="Arial"/>
        </w:rPr>
      </w:pPr>
      <w:r w:rsidRPr="00A66E2A">
        <w:rPr>
          <w:rFonts w:ascii="Arial" w:hAnsi="Arial" w:cs="Arial"/>
          <w:b/>
          <w:color w:val="1A1A1A"/>
        </w:rPr>
        <w:t>Correção monetária e juros moratórios.</w:t>
      </w:r>
      <w:r w:rsidRPr="00A66E2A">
        <w:rPr>
          <w:rFonts w:ascii="Arial" w:hAnsi="Arial" w:cs="Arial"/>
          <w:color w:val="1A1A1A"/>
        </w:rPr>
        <w:t xml:space="preserve"> </w:t>
      </w:r>
      <w:r w:rsidRPr="00E1723D">
        <w:rPr>
          <w:rFonts w:cs="Arial"/>
        </w:rPr>
        <w:t xml:space="preserve">A matéria concernente aos consectários legais é de ordem pública e, portanto, aferível de ofício pelo julgador, consoante pacífico entendimento do STJ. Assim, alterar ou modificar de ofício o termo inicial ou percentual da correção monetária e dos juros de mora não configuram julgamento </w:t>
      </w:r>
      <w:r w:rsidRPr="00E1723D">
        <w:rPr>
          <w:rFonts w:cs="Arial"/>
          <w:i/>
          <w:iCs/>
        </w:rPr>
        <w:t>extra petita</w:t>
      </w:r>
      <w:r w:rsidRPr="00E1723D">
        <w:rPr>
          <w:rFonts w:cs="Arial"/>
        </w:rPr>
        <w:t xml:space="preserve">, tampouco se incorre no princípio da </w:t>
      </w:r>
      <w:proofErr w:type="spellStart"/>
      <w:r w:rsidRPr="00E1723D">
        <w:rPr>
          <w:rFonts w:cs="Arial"/>
          <w:i/>
          <w:iCs/>
        </w:rPr>
        <w:t>non</w:t>
      </w:r>
      <w:proofErr w:type="spellEnd"/>
      <w:r w:rsidRPr="00E1723D">
        <w:rPr>
          <w:rFonts w:cs="Arial"/>
          <w:i/>
          <w:iCs/>
        </w:rPr>
        <w:t xml:space="preserve"> </w:t>
      </w:r>
      <w:proofErr w:type="spellStart"/>
      <w:r w:rsidRPr="00E1723D">
        <w:rPr>
          <w:rFonts w:cs="Arial"/>
          <w:i/>
          <w:iCs/>
        </w:rPr>
        <w:t>reformatio</w:t>
      </w:r>
      <w:proofErr w:type="spellEnd"/>
      <w:r w:rsidRPr="00E1723D">
        <w:rPr>
          <w:rFonts w:cs="Arial"/>
          <w:i/>
          <w:iCs/>
        </w:rPr>
        <w:t xml:space="preserve"> in </w:t>
      </w:r>
      <w:proofErr w:type="spellStart"/>
      <w:r w:rsidRPr="00E1723D">
        <w:rPr>
          <w:rFonts w:cs="Arial"/>
          <w:i/>
          <w:iCs/>
        </w:rPr>
        <w:t>pejus</w:t>
      </w:r>
      <w:proofErr w:type="spellEnd"/>
      <w:r w:rsidRPr="00E1723D">
        <w:rPr>
          <w:rFonts w:cs="Arial"/>
        </w:rPr>
        <w:t xml:space="preserve"> (STJ, </w:t>
      </w:r>
      <w:proofErr w:type="spellStart"/>
      <w:proofErr w:type="gramStart"/>
      <w:r w:rsidRPr="00E1723D">
        <w:rPr>
          <w:rFonts w:cs="Arial"/>
        </w:rPr>
        <w:t>AgRg</w:t>
      </w:r>
      <w:proofErr w:type="spellEnd"/>
      <w:proofErr w:type="gramEnd"/>
      <w:r w:rsidRPr="00E1723D">
        <w:rPr>
          <w:rFonts w:cs="Arial"/>
        </w:rPr>
        <w:t xml:space="preserve"> no </w:t>
      </w:r>
      <w:proofErr w:type="spellStart"/>
      <w:r w:rsidRPr="00E1723D">
        <w:rPr>
          <w:rFonts w:cs="Arial"/>
        </w:rPr>
        <w:t>REsp</w:t>
      </w:r>
      <w:proofErr w:type="spellEnd"/>
      <w:r w:rsidRPr="00E1723D">
        <w:rPr>
          <w:rFonts w:cs="Arial"/>
        </w:rPr>
        <w:t xml:space="preserve"> 1.440.244/RS, Rel. Ministro </w:t>
      </w:r>
      <w:proofErr w:type="spellStart"/>
      <w:r w:rsidRPr="00E1723D">
        <w:rPr>
          <w:rFonts w:cs="Arial"/>
        </w:rPr>
        <w:t>Herman</w:t>
      </w:r>
      <w:proofErr w:type="spellEnd"/>
      <w:r w:rsidRPr="00E1723D">
        <w:rPr>
          <w:rFonts w:cs="Arial"/>
        </w:rPr>
        <w:t xml:space="preserve"> Benjamin, Segunda Turma, </w:t>
      </w:r>
      <w:proofErr w:type="spellStart"/>
      <w:r w:rsidRPr="00E1723D">
        <w:rPr>
          <w:rFonts w:cs="Arial"/>
        </w:rPr>
        <w:t>DJe</w:t>
      </w:r>
      <w:proofErr w:type="spellEnd"/>
      <w:r w:rsidRPr="00E1723D">
        <w:rPr>
          <w:rFonts w:cs="Arial"/>
        </w:rPr>
        <w:t xml:space="preserve"> de 10/10/2014; STJ, </w:t>
      </w:r>
      <w:proofErr w:type="spellStart"/>
      <w:r w:rsidRPr="00E1723D">
        <w:rPr>
          <w:rFonts w:cs="Arial"/>
        </w:rPr>
        <w:t>AgRg</w:t>
      </w:r>
      <w:proofErr w:type="spellEnd"/>
      <w:r w:rsidRPr="00E1723D">
        <w:rPr>
          <w:rFonts w:cs="Arial"/>
        </w:rPr>
        <w:t xml:space="preserve"> no </w:t>
      </w:r>
      <w:proofErr w:type="spellStart"/>
      <w:r w:rsidRPr="00E1723D">
        <w:rPr>
          <w:rFonts w:cs="Arial"/>
        </w:rPr>
        <w:t>REsp</w:t>
      </w:r>
      <w:proofErr w:type="spellEnd"/>
      <w:r w:rsidRPr="00E1723D">
        <w:rPr>
          <w:rFonts w:cs="Arial"/>
        </w:rPr>
        <w:t xml:space="preserve"> 1.451.962/RS, Rel. Ministro Mauro Campbell Marques, Segunda Turma, </w:t>
      </w:r>
      <w:proofErr w:type="spellStart"/>
      <w:r w:rsidRPr="00E1723D">
        <w:rPr>
          <w:rFonts w:cs="Arial"/>
        </w:rPr>
        <w:t>DJe</w:t>
      </w:r>
      <w:proofErr w:type="spellEnd"/>
      <w:r w:rsidRPr="00E1723D">
        <w:rPr>
          <w:rFonts w:cs="Arial"/>
        </w:rPr>
        <w:t xml:space="preserve"> de 23/09/2014; STJ, </w:t>
      </w:r>
      <w:proofErr w:type="spellStart"/>
      <w:r w:rsidRPr="00E1723D">
        <w:rPr>
          <w:rFonts w:cs="Arial"/>
        </w:rPr>
        <w:t>AgRg</w:t>
      </w:r>
      <w:proofErr w:type="spellEnd"/>
      <w:r w:rsidRPr="00E1723D">
        <w:rPr>
          <w:rFonts w:cs="Arial"/>
        </w:rPr>
        <w:t xml:space="preserve"> no </w:t>
      </w:r>
      <w:proofErr w:type="spellStart"/>
      <w:r w:rsidRPr="00E1723D">
        <w:rPr>
          <w:rFonts w:cs="Arial"/>
        </w:rPr>
        <w:t>AgRg</w:t>
      </w:r>
      <w:proofErr w:type="spellEnd"/>
      <w:r w:rsidRPr="00E1723D">
        <w:rPr>
          <w:rFonts w:cs="Arial"/>
        </w:rPr>
        <w:t xml:space="preserve"> no </w:t>
      </w:r>
      <w:proofErr w:type="spellStart"/>
      <w:r w:rsidRPr="00E1723D">
        <w:rPr>
          <w:rFonts w:cs="Arial"/>
        </w:rPr>
        <w:t>REsp</w:t>
      </w:r>
      <w:proofErr w:type="spellEnd"/>
      <w:r w:rsidRPr="00E1723D">
        <w:rPr>
          <w:rFonts w:cs="Arial"/>
        </w:rPr>
        <w:t xml:space="preserve"> 1.424.522/PR, Rel. Ministro Humberto Martins, Segunda Turma, </w:t>
      </w:r>
      <w:proofErr w:type="spellStart"/>
      <w:r w:rsidRPr="00E1723D">
        <w:rPr>
          <w:rFonts w:cs="Arial"/>
        </w:rPr>
        <w:t>DJe</w:t>
      </w:r>
      <w:proofErr w:type="spellEnd"/>
      <w:r w:rsidRPr="00E1723D">
        <w:rPr>
          <w:rFonts w:cs="Arial"/>
        </w:rPr>
        <w:t xml:space="preserve"> de 28/08/2014). E "a 1ª Seção do STJ, no julgamento do </w:t>
      </w:r>
      <w:proofErr w:type="spellStart"/>
      <w:proofErr w:type="gramStart"/>
      <w:r w:rsidRPr="00E1723D">
        <w:rPr>
          <w:rFonts w:cs="Arial"/>
        </w:rPr>
        <w:t>REsp</w:t>
      </w:r>
      <w:proofErr w:type="spellEnd"/>
      <w:proofErr w:type="gramEnd"/>
      <w:r w:rsidRPr="00E1723D">
        <w:rPr>
          <w:rFonts w:cs="Arial"/>
        </w:rPr>
        <w:t xml:space="preserve"> 1.112.746/DF, afirmou que os juros de mora e a correção monetária são obrigações de trato sucessivo, que se renovam mês a mês, devendo, portanto, ser aplicada no mês de regência a legislação vigente. Por essa razão, fixou-se o entendimento de que a lei nova superveniente que altera o regime dos juros moratórios deve ser aplicada imediatamente a todos os processos, abarcando inclusive aqueles em que já houve o trânsito em julgado e estejam em fase de execução. Não há, pois, nesses casos, que falar em violação da coisa julgada" (</w:t>
      </w:r>
      <w:proofErr w:type="spellStart"/>
      <w:r w:rsidRPr="00E1723D">
        <w:rPr>
          <w:rFonts w:cs="Arial"/>
        </w:rPr>
        <w:t>EDcl</w:t>
      </w:r>
      <w:proofErr w:type="spellEnd"/>
      <w:r w:rsidRPr="00E1723D">
        <w:rPr>
          <w:rFonts w:cs="Arial"/>
        </w:rPr>
        <w:t xml:space="preserve"> no </w:t>
      </w:r>
      <w:proofErr w:type="spellStart"/>
      <w:r w:rsidRPr="00E1723D">
        <w:rPr>
          <w:rFonts w:cs="Arial"/>
        </w:rPr>
        <w:t>AgRg</w:t>
      </w:r>
      <w:proofErr w:type="spellEnd"/>
      <w:r w:rsidRPr="00E1723D">
        <w:rPr>
          <w:rFonts w:cs="Arial"/>
        </w:rPr>
        <w:t xml:space="preserve"> no </w:t>
      </w:r>
      <w:proofErr w:type="spellStart"/>
      <w:r w:rsidRPr="00E1723D">
        <w:rPr>
          <w:rFonts w:cs="Arial"/>
        </w:rPr>
        <w:t>REsp</w:t>
      </w:r>
      <w:proofErr w:type="spellEnd"/>
      <w:r w:rsidRPr="00E1723D">
        <w:rPr>
          <w:rFonts w:cs="Arial"/>
        </w:rPr>
        <w:t xml:space="preserve"> 1.210.516/RS, Rel. Ministro NAPOLEÃO NUNES MAIA FILHO, PRIMEIRA TURMA, julgado em 15/09/2015, </w:t>
      </w:r>
      <w:proofErr w:type="spellStart"/>
      <w:r w:rsidRPr="00E1723D">
        <w:rPr>
          <w:rFonts w:cs="Arial"/>
        </w:rPr>
        <w:t>DJe</w:t>
      </w:r>
      <w:proofErr w:type="spellEnd"/>
      <w:r w:rsidRPr="00E1723D">
        <w:rPr>
          <w:rFonts w:cs="Arial"/>
        </w:rPr>
        <w:t xml:space="preserve"> 25/09/2015). Por seu turno, quanto aos aludidos consectários legais (correção monetária e juros de mora), cabe </w:t>
      </w:r>
      <w:proofErr w:type="gramStart"/>
      <w:r w:rsidRPr="00E1723D">
        <w:rPr>
          <w:rFonts w:cs="Arial"/>
        </w:rPr>
        <w:t>a</w:t>
      </w:r>
      <w:proofErr w:type="gramEnd"/>
      <w:r w:rsidRPr="00E1723D">
        <w:rPr>
          <w:rFonts w:cs="Arial"/>
        </w:rPr>
        <w:t xml:space="preserve"> aplicação do Manual de Cálculos da Justiça Federal, com aplicação dos juros de mora desde a citação, em relação às parcelas anteriores à mesma, ou desde o vencimento de cada parcela, se posteriores (vide tema 810 da repercussão geral, STF, RE 870.947/SE; e tema 905, STJ, RESP 1.495.146-MG</w:t>
      </w:r>
      <w:r>
        <w:rPr>
          <w:rFonts w:cs="Arial"/>
        </w:rPr>
        <w:t>)</w:t>
      </w:r>
      <w:r w:rsidRPr="00A66E2A">
        <w:rPr>
          <w:rFonts w:ascii="Arial" w:hAnsi="Arial" w:cs="Arial"/>
        </w:rPr>
        <w:t>.</w:t>
      </w:r>
    </w:p>
    <w:p w:rsidR="004B5018" w:rsidRDefault="004B5018" w:rsidP="004B5018">
      <w:pPr>
        <w:pStyle w:val="Cabealho"/>
        <w:widowControl w:val="0"/>
        <w:spacing w:line="360" w:lineRule="auto"/>
        <w:ind w:firstLine="1418"/>
        <w:jc w:val="both"/>
        <w:rPr>
          <w:rFonts w:ascii="Arial" w:hAnsi="Arial" w:cs="Arial"/>
        </w:rPr>
      </w:pPr>
      <w:r w:rsidRPr="00D16C5E">
        <w:rPr>
          <w:rFonts w:ascii="Arial" w:hAnsi="Arial" w:cs="Arial"/>
          <w:b/>
        </w:rPr>
        <w:lastRenderedPageBreak/>
        <w:t>Honorários advocatícios.</w:t>
      </w:r>
      <w:r>
        <w:rPr>
          <w:rFonts w:ascii="Arial" w:hAnsi="Arial" w:cs="Arial"/>
        </w:rPr>
        <w:t xml:space="preserve"> </w:t>
      </w:r>
      <w:r w:rsidRPr="009B4424">
        <w:rPr>
          <w:rFonts w:ascii="Arial" w:eastAsia="MS Mincho" w:hAnsi="Arial" w:cs="Arial"/>
        </w:rPr>
        <w:t>Os h</w:t>
      </w:r>
      <w:r w:rsidRPr="009B4424">
        <w:rPr>
          <w:rFonts w:ascii="Arial" w:hAnsi="Arial" w:cs="Arial"/>
          <w:bCs/>
        </w:rPr>
        <w:t>onorários</w:t>
      </w:r>
      <w:r w:rsidRPr="009B4424">
        <w:rPr>
          <w:rFonts w:ascii="Arial" w:hAnsi="Arial" w:cs="Arial"/>
        </w:rPr>
        <w:t xml:space="preserve"> advocatícios, devidos pelo INSS, devem ser fixados em percentual a ser fixado por ocasião da liquidação do julgado, nos termos do art. 85, § 3º c/c § 4º, II, do NCPC, conforme regra inserta no § 5º do mesmo artigo, a incidir sobre o valor da condenação (Súmula 111 do STJ).</w:t>
      </w:r>
    </w:p>
    <w:p w:rsidR="004B5018" w:rsidRDefault="004B5018" w:rsidP="004B5018">
      <w:pPr>
        <w:spacing w:after="0" w:line="360" w:lineRule="auto"/>
        <w:ind w:firstLine="1418"/>
        <w:jc w:val="both"/>
        <w:rPr>
          <w:rFonts w:ascii="Arial" w:hAnsi="Arial" w:cs="Arial"/>
        </w:rPr>
      </w:pPr>
      <w:proofErr w:type="spellStart"/>
      <w:r w:rsidRPr="00D523A2">
        <w:rPr>
          <w:rFonts w:ascii="Arial" w:hAnsi="Arial" w:cs="Arial"/>
          <w:b/>
          <w:shd w:val="clear" w:color="auto" w:fill="FFFFFF"/>
        </w:rPr>
        <w:t>Prequestionamento</w:t>
      </w:r>
      <w:proofErr w:type="spellEnd"/>
      <w:r w:rsidRPr="00D523A2">
        <w:rPr>
          <w:rFonts w:ascii="Arial" w:hAnsi="Arial" w:cs="Arial"/>
          <w:b/>
          <w:shd w:val="clear" w:color="auto" w:fill="FFFFFF"/>
        </w:rPr>
        <w:t>.</w:t>
      </w:r>
      <w:r w:rsidRPr="00D523A2">
        <w:rPr>
          <w:rFonts w:ascii="Arial" w:hAnsi="Arial" w:cs="Arial"/>
          <w:shd w:val="clear" w:color="auto" w:fill="FFFFFF"/>
        </w:rPr>
        <w:t xml:space="preserve"> Por fim, s</w:t>
      </w:r>
      <w:r w:rsidRPr="00D523A2">
        <w:rPr>
          <w:rFonts w:ascii="Arial" w:hAnsi="Arial" w:cs="Arial"/>
        </w:rPr>
        <w:t xml:space="preserve">obre o </w:t>
      </w:r>
      <w:proofErr w:type="spellStart"/>
      <w:r w:rsidRPr="00D523A2">
        <w:rPr>
          <w:rFonts w:ascii="Arial" w:hAnsi="Arial" w:cs="Arial"/>
        </w:rPr>
        <w:t>prequestionamento</w:t>
      </w:r>
      <w:proofErr w:type="spellEnd"/>
      <w:r w:rsidRPr="00D523A2">
        <w:rPr>
          <w:rFonts w:ascii="Arial" w:hAnsi="Arial" w:cs="Arial"/>
        </w:rPr>
        <w:t xml:space="preserve"> apresentado, ressalto que esta Corte não está obrigada a se manifestar sobre todas as alegações das partes. O seu trabalho cognitivo se restringe ao pedido, devendo, quanto a este, explicitar os motivos do seu convencimento. Por sinal, de há muito já está assentado o entendimento de que não há necessidade de se analisar todos </w:t>
      </w:r>
      <w:proofErr w:type="gramStart"/>
      <w:r w:rsidRPr="00D523A2">
        <w:rPr>
          <w:rFonts w:ascii="Arial" w:hAnsi="Arial" w:cs="Arial"/>
        </w:rPr>
        <w:t xml:space="preserve">os dispositivos legais e teses levantados pelas partes e, para fins de </w:t>
      </w:r>
      <w:proofErr w:type="spellStart"/>
      <w:r w:rsidRPr="00D523A2">
        <w:rPr>
          <w:rFonts w:ascii="Arial" w:hAnsi="Arial" w:cs="Arial"/>
        </w:rPr>
        <w:t>prequestionamento</w:t>
      </w:r>
      <w:proofErr w:type="spellEnd"/>
      <w:r w:rsidRPr="00D523A2">
        <w:rPr>
          <w:rFonts w:ascii="Arial" w:hAnsi="Arial" w:cs="Arial"/>
        </w:rPr>
        <w:t>, basta</w:t>
      </w:r>
      <w:proofErr w:type="gramEnd"/>
      <w:r w:rsidRPr="00D523A2">
        <w:rPr>
          <w:rFonts w:ascii="Arial" w:hAnsi="Arial" w:cs="Arial"/>
        </w:rPr>
        <w:t xml:space="preserve"> a menção do tema nas postulações. </w:t>
      </w:r>
    </w:p>
    <w:p w:rsidR="004B5018" w:rsidRPr="00D16C5E" w:rsidRDefault="004B5018" w:rsidP="004B5018">
      <w:pPr>
        <w:spacing w:after="0" w:line="360" w:lineRule="auto"/>
        <w:ind w:firstLine="1418"/>
        <w:jc w:val="both"/>
        <w:rPr>
          <w:rFonts w:ascii="Arial" w:eastAsia="MS Mincho" w:hAnsi="Arial" w:cs="Arial"/>
          <w:bCs/>
        </w:rPr>
      </w:pPr>
      <w:r w:rsidRPr="00BB10F1">
        <w:rPr>
          <w:rFonts w:ascii="Arial" w:eastAsia="MS Mincho" w:hAnsi="Arial" w:cs="Arial"/>
          <w:b/>
        </w:rPr>
        <w:t xml:space="preserve">Dispositivo. </w:t>
      </w:r>
      <w:r w:rsidRPr="00D16C5E">
        <w:rPr>
          <w:rFonts w:ascii="Arial" w:eastAsia="MS Mincho" w:hAnsi="Arial" w:cs="Arial"/>
        </w:rPr>
        <w:t xml:space="preserve">Ante o exposto, </w:t>
      </w:r>
      <w:r>
        <w:rPr>
          <w:rFonts w:ascii="Arial" w:eastAsia="MS Mincho" w:hAnsi="Arial" w:cs="Arial"/>
        </w:rPr>
        <w:t>não conheço da remessa oficial, dou parcial provimento ao apelo da parte autora, quanto aos honorários advocatícios, nos termos supra, e nego provimento à apelação do INSS. De ofício altero a fixação dos juros de mora e da correção monetária, nos termos acima.</w:t>
      </w:r>
    </w:p>
    <w:p w:rsidR="004B5018" w:rsidRPr="00155D21" w:rsidRDefault="004B5018" w:rsidP="004B5018">
      <w:pPr>
        <w:pStyle w:val="Cabealho"/>
        <w:widowControl w:val="0"/>
        <w:spacing w:line="360" w:lineRule="auto"/>
        <w:ind w:firstLine="1418"/>
        <w:jc w:val="both"/>
        <w:rPr>
          <w:rFonts w:ascii="Arial" w:hAnsi="Arial" w:cs="Arial"/>
        </w:rPr>
      </w:pPr>
      <w:r w:rsidRPr="00155D21">
        <w:rPr>
          <w:rFonts w:ascii="Arial" w:hAnsi="Arial" w:cs="Arial"/>
        </w:rPr>
        <w:t>É o voto.</w:t>
      </w:r>
    </w:p>
    <w:p w:rsidR="004B5018" w:rsidRDefault="004B5018" w:rsidP="004B5018">
      <w:pPr>
        <w:pStyle w:val="Identificao"/>
        <w:spacing w:line="360" w:lineRule="auto"/>
        <w:ind w:firstLine="1418"/>
      </w:pPr>
    </w:p>
    <w:sectPr w:rsidR="004B5018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957" w:rsidRDefault="00801957">
      <w:r>
        <w:separator/>
      </w:r>
    </w:p>
  </w:endnote>
  <w:endnote w:type="continuationSeparator" w:id="0">
    <w:p w:rsidR="00801957" w:rsidRDefault="00801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F08A3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6F08A3">
      <w:rPr>
        <w:rFonts w:ascii="Arial" w:hAnsi="Arial"/>
        <w:sz w:val="10"/>
      </w:rPr>
      <w:fldChar w:fldCharType="separate"/>
    </w:r>
    <w:r w:rsidR="005D4882">
      <w:rPr>
        <w:rFonts w:ascii="Arial" w:hAnsi="Arial"/>
        <w:noProof/>
        <w:sz w:val="10"/>
      </w:rPr>
      <w:t>Documento1</w:t>
    </w:r>
    <w:r w:rsidR="006F08A3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F08A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6F08A3">
      <w:rPr>
        <w:rFonts w:ascii="Arial" w:hAnsi="Arial"/>
        <w:sz w:val="13"/>
      </w:rPr>
      <w:fldChar w:fldCharType="separate"/>
    </w:r>
    <w:r w:rsidR="005D4882">
      <w:rPr>
        <w:rFonts w:ascii="Arial" w:hAnsi="Arial"/>
        <w:noProof/>
        <w:sz w:val="13"/>
      </w:rPr>
      <w:t>Documento1</w:t>
    </w:r>
    <w:r w:rsidR="006F08A3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6F08A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6F08A3">
      <w:rPr>
        <w:rFonts w:ascii="Arial" w:hAnsi="Arial"/>
        <w:sz w:val="13"/>
      </w:rPr>
      <w:fldChar w:fldCharType="separate"/>
    </w:r>
    <w:r w:rsidR="005D4882">
      <w:rPr>
        <w:rFonts w:ascii="Arial" w:hAnsi="Arial"/>
        <w:noProof/>
        <w:sz w:val="13"/>
      </w:rPr>
      <w:t>TR300321</w:t>
    </w:r>
    <w:r w:rsidR="006F08A3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957" w:rsidRDefault="00801957">
      <w:r>
        <w:separator/>
      </w:r>
    </w:p>
  </w:footnote>
  <w:footnote w:type="continuationSeparator" w:id="0">
    <w:p w:rsidR="00801957" w:rsidRDefault="008019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6F08A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6F08A3">
      <w:rPr>
        <w:rFonts w:ascii="Arial" w:hAnsi="Arial" w:cs="Arial"/>
        <w:bCs/>
        <w:sz w:val="16"/>
      </w:rPr>
      <w:fldChar w:fldCharType="separate"/>
    </w:r>
    <w:r w:rsidR="004B5018">
      <w:rPr>
        <w:rFonts w:ascii="Arial" w:hAnsi="Arial" w:cs="Arial"/>
        <w:bCs/>
        <w:noProof/>
        <w:sz w:val="16"/>
      </w:rPr>
      <w:t>2</w:t>
    </w:r>
    <w:r w:rsidR="006F08A3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6F08A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6F08A3">
      <w:rPr>
        <w:rFonts w:ascii="Arial" w:hAnsi="Arial" w:cs="Arial"/>
        <w:bCs/>
        <w:sz w:val="16"/>
      </w:rPr>
      <w:fldChar w:fldCharType="separate"/>
    </w:r>
    <w:r w:rsidR="004B5018">
      <w:rPr>
        <w:rFonts w:ascii="Arial" w:hAnsi="Arial" w:cs="Arial"/>
        <w:bCs/>
        <w:noProof/>
        <w:sz w:val="16"/>
      </w:rPr>
      <w:t>6</w:t>
    </w:r>
    <w:r w:rsidR="006F08A3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882" w:rsidRPr="005D4882" w:rsidRDefault="005D4882" w:rsidP="005D4882">
    <w:pPr>
      <w:jc w:val="right"/>
      <w:rPr>
        <w:rFonts w:ascii="Interleaved 2of5" w:hAnsi="Interleaved 2of5"/>
        <w:sz w:val="48"/>
      </w:rPr>
    </w:pPr>
    <w:r w:rsidRPr="005D4882">
      <w:rPr>
        <w:rFonts w:ascii="Interleaved 2of5" w:hAnsi="Interleaved 2of5"/>
        <w:sz w:val="48"/>
      </w:rPr>
      <w:t>(4Ø&lt;1Î1Q0)</w:t>
    </w:r>
  </w:p>
  <w:p w:rsidR="005D4882" w:rsidRDefault="005D4882" w:rsidP="005D4882">
    <w:pPr>
      <w:spacing w:before="120"/>
      <w:rPr>
        <w:rFonts w:ascii="Arial" w:hAnsi="Arial"/>
        <w:sz w:val="16"/>
      </w:rPr>
    </w:pPr>
  </w:p>
  <w:p w:rsidR="004554A7" w:rsidRDefault="005D4882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957"/>
    <w:rsid w:val="000F222B"/>
    <w:rsid w:val="0015179D"/>
    <w:rsid w:val="00191A8C"/>
    <w:rsid w:val="002331F7"/>
    <w:rsid w:val="00390568"/>
    <w:rsid w:val="00413610"/>
    <w:rsid w:val="004269A8"/>
    <w:rsid w:val="004554A7"/>
    <w:rsid w:val="00462716"/>
    <w:rsid w:val="00471CDF"/>
    <w:rsid w:val="004B5018"/>
    <w:rsid w:val="004C17AC"/>
    <w:rsid w:val="005D4882"/>
    <w:rsid w:val="005E20DB"/>
    <w:rsid w:val="006779DE"/>
    <w:rsid w:val="006A4ECE"/>
    <w:rsid w:val="006F08A3"/>
    <w:rsid w:val="007A7066"/>
    <w:rsid w:val="007C3424"/>
    <w:rsid w:val="00801957"/>
    <w:rsid w:val="008713AE"/>
    <w:rsid w:val="00872397"/>
    <w:rsid w:val="008A3D69"/>
    <w:rsid w:val="008C4395"/>
    <w:rsid w:val="0099169E"/>
    <w:rsid w:val="00C5492A"/>
    <w:rsid w:val="00D221D6"/>
    <w:rsid w:val="00D67B2C"/>
    <w:rsid w:val="00DD0AC9"/>
    <w:rsid w:val="00E63272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327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E63272"/>
    <w:pPr>
      <w:keepNext/>
      <w:spacing w:after="0" w:line="240" w:lineRule="auto"/>
      <w:jc w:val="center"/>
      <w:outlineLvl w:val="0"/>
    </w:pPr>
    <w:rPr>
      <w:rFonts w:ascii="Arial" w:hAnsi="Arial" w:cs="Arial"/>
      <w:b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D67B2C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D67B2C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link w:val="centralizarChar"/>
    <w:rsid w:val="00D67B2C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link w:val="TranscrioChar"/>
    <w:rsid w:val="00D67B2C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link w:val="CabealhoChar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D67B2C"/>
    <w:pPr>
      <w:ind w:left="2835"/>
    </w:pPr>
  </w:style>
  <w:style w:type="paragraph" w:customStyle="1" w:styleId="transcrio3">
    <w:name w:val="transcrição 3"/>
    <w:basedOn w:val="Identificao"/>
    <w:rsid w:val="00D67B2C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D67B2C"/>
    <w:pPr>
      <w:ind w:left="4536"/>
    </w:pPr>
  </w:style>
  <w:style w:type="paragraph" w:customStyle="1" w:styleId="assinatura">
    <w:name w:val="assinatura"/>
    <w:basedOn w:val="Pargrafo"/>
    <w:rsid w:val="00D67B2C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D67B2C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5D4882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D4882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E63272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E6327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E63272"/>
    <w:rPr>
      <w:rFonts w:ascii="Arial" w:eastAsia="Calibri" w:hAnsi="Arial" w:cs="Arial"/>
      <w:b/>
      <w:sz w:val="24"/>
      <w:szCs w:val="24"/>
      <w:u w:val="single"/>
    </w:rPr>
  </w:style>
  <w:style w:type="character" w:customStyle="1" w:styleId="CabealhoChar">
    <w:name w:val="Cabeçalho Char"/>
    <w:basedOn w:val="Fontepargpadro"/>
    <w:link w:val="Cabealho"/>
    <w:rsid w:val="00E63272"/>
    <w:rPr>
      <w:sz w:val="24"/>
      <w:szCs w:val="24"/>
    </w:rPr>
  </w:style>
  <w:style w:type="character" w:customStyle="1" w:styleId="IdentificaoChar">
    <w:name w:val="Identificação Char"/>
    <w:link w:val="Identificao"/>
    <w:rsid w:val="00E63272"/>
    <w:rPr>
      <w:rFonts w:ascii="Arial" w:hAnsi="Arial"/>
      <w:sz w:val="22"/>
      <w:szCs w:val="24"/>
    </w:rPr>
  </w:style>
  <w:style w:type="character" w:customStyle="1" w:styleId="Corpodetexto3Char">
    <w:name w:val="Corpo de texto 3 Char"/>
    <w:link w:val="Corpodetexto3"/>
    <w:locked/>
    <w:rsid w:val="00E63272"/>
    <w:rPr>
      <w:sz w:val="16"/>
      <w:szCs w:val="16"/>
    </w:rPr>
  </w:style>
  <w:style w:type="paragraph" w:styleId="Corpodetexto3">
    <w:name w:val="Body Text 3"/>
    <w:basedOn w:val="Normal"/>
    <w:link w:val="Corpodetexto3Char"/>
    <w:rsid w:val="00E63272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1">
    <w:name w:val="Corpo de texto 3 Char1"/>
    <w:basedOn w:val="Fontepargpadro"/>
    <w:link w:val="Corpodetexto3"/>
    <w:rsid w:val="00E63272"/>
    <w:rPr>
      <w:rFonts w:ascii="Calibri" w:eastAsia="Calibri" w:hAnsi="Calibri"/>
      <w:sz w:val="16"/>
      <w:szCs w:val="16"/>
      <w:lang w:eastAsia="en-US"/>
    </w:rPr>
  </w:style>
  <w:style w:type="character" w:customStyle="1" w:styleId="ementaChar">
    <w:name w:val="ementa Char"/>
    <w:basedOn w:val="Fontepargpadro"/>
    <w:link w:val="ementa"/>
    <w:rsid w:val="00E63272"/>
    <w:rPr>
      <w:rFonts w:ascii="Arial" w:hAnsi="Arial"/>
      <w:sz w:val="22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E6327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63272"/>
    <w:rPr>
      <w:rFonts w:ascii="Calibri" w:eastAsia="Calibri" w:hAnsi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rsid w:val="000F222B"/>
    <w:rPr>
      <w:sz w:val="22"/>
      <w:szCs w:val="22"/>
      <w:lang w:eastAsia="en-US"/>
    </w:rPr>
  </w:style>
  <w:style w:type="character" w:customStyle="1" w:styleId="PargrafoChar">
    <w:name w:val="Parágrafo Char"/>
    <w:link w:val="Pargrafo"/>
    <w:rsid w:val="000F222B"/>
    <w:rPr>
      <w:rFonts w:ascii="Arial" w:hAnsi="Arial"/>
      <w:sz w:val="22"/>
      <w:szCs w:val="24"/>
    </w:rPr>
  </w:style>
  <w:style w:type="character" w:customStyle="1" w:styleId="centralizarChar">
    <w:name w:val="centralizar Char"/>
    <w:link w:val="centralizar"/>
    <w:locked/>
    <w:rsid w:val="000F222B"/>
    <w:rPr>
      <w:rFonts w:ascii="Arial" w:hAnsi="Arial"/>
      <w:b/>
      <w:sz w:val="22"/>
      <w:szCs w:val="24"/>
    </w:rPr>
  </w:style>
  <w:style w:type="character" w:customStyle="1" w:styleId="TranscrioChar">
    <w:name w:val="Transcrição Char"/>
    <w:link w:val="Transcrio"/>
    <w:locked/>
    <w:rsid w:val="000F222B"/>
    <w:rPr>
      <w:rFonts w:ascii="Arial" w:hAnsi="Arial"/>
      <w:i/>
      <w:sz w:val="22"/>
      <w:szCs w:val="24"/>
    </w:rPr>
  </w:style>
  <w:style w:type="paragraph" w:customStyle="1" w:styleId="Default">
    <w:name w:val="Default"/>
    <w:rsid w:val="000F22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6</TotalTime>
  <Pages>6</Pages>
  <Words>2110</Words>
  <Characters>11897</Characters>
  <Application>Microsoft Office Word</Application>
  <DocSecurity>0</DocSecurity>
  <Lines>99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ba364403</cp:lastModifiedBy>
  <cp:revision>3</cp:revision>
  <dcterms:created xsi:type="dcterms:W3CDTF">2018-06-05T19:05:00Z</dcterms:created>
  <dcterms:modified xsi:type="dcterms:W3CDTF">2018-06-08T14:59:00Z</dcterms:modified>
</cp:coreProperties>
</file>