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5F" w:rsidRDefault="00DD635F" w:rsidP="00AB2122">
      <w:pPr>
        <w:pStyle w:val="TextosemFormatao"/>
        <w:rPr>
          <w:rFonts w:ascii="Courier New" w:hAnsi="Courier New" w:cs="Courier New"/>
        </w:rPr>
      </w:pPr>
    </w:p>
    <w:p w:rsidR="00DD635F" w:rsidRPr="00AB2122" w:rsidRDefault="00DD635F" w:rsidP="00DD635F">
      <w:pPr>
        <w:pStyle w:val="Identificao"/>
      </w:pPr>
      <w:r w:rsidRPr="00AB2122">
        <w:t xml:space="preserve">Numeração Única: 40982720154013819 </w:t>
      </w:r>
    </w:p>
    <w:p w:rsidR="00DD635F" w:rsidRPr="00AB2122" w:rsidRDefault="00DD635F" w:rsidP="00DD635F">
      <w:pPr>
        <w:pStyle w:val="Identificao"/>
      </w:pPr>
      <w:r w:rsidRPr="00AB2122">
        <w:t>PEDIDO DE UNIFORMIZAÇÃO DE INTERPRETAÇÃO DE LEI FEDERAL</w:t>
      </w:r>
      <w:proofErr w:type="gramStart"/>
      <w:r w:rsidRPr="00AB2122">
        <w:t xml:space="preserve">  </w:t>
      </w:r>
      <w:proofErr w:type="gramEnd"/>
      <w:r w:rsidRPr="00AB2122">
        <w:t>0004098-27.2015.4.01.3819/MG</w:t>
      </w:r>
    </w:p>
    <w:p w:rsidR="00DD635F" w:rsidRPr="00AB2122" w:rsidRDefault="00DD635F" w:rsidP="00DD635F">
      <w:pPr>
        <w:pStyle w:val="Identificao"/>
      </w:pPr>
      <w:r w:rsidRPr="00AB2122">
        <w:t>Processo na Origem: 40982720154013819</w:t>
      </w:r>
    </w:p>
    <w:p w:rsidR="00DD635F" w:rsidRDefault="00DD635F" w:rsidP="00DD635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D635F" w:rsidRPr="00DD635F" w:rsidTr="00DD635F">
        <w:tc>
          <w:tcPr>
            <w:tcW w:w="20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proofErr w:type="gramStart"/>
            <w:r w:rsidRPr="00DD635F">
              <w:t>RELATOR(</w:t>
            </w:r>
            <w:proofErr w:type="gramEnd"/>
            <w:r w:rsidRPr="00DD635F">
              <w:t>A)</w:t>
            </w:r>
          </w:p>
        </w:tc>
        <w:tc>
          <w:tcPr>
            <w:tcW w:w="3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:</w:t>
            </w:r>
          </w:p>
        </w:tc>
        <w:tc>
          <w:tcPr>
            <w:tcW w:w="76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JUIZ FEDERAL RICARDO BECKERATH DA SILVA LEITÃO</w:t>
            </w:r>
          </w:p>
        </w:tc>
      </w:tr>
      <w:tr w:rsidR="00DD635F" w:rsidRPr="00DD635F" w:rsidTr="00DD635F">
        <w:tc>
          <w:tcPr>
            <w:tcW w:w="20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RECORRENTE</w:t>
            </w:r>
          </w:p>
        </w:tc>
        <w:tc>
          <w:tcPr>
            <w:tcW w:w="3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:</w:t>
            </w:r>
          </w:p>
        </w:tc>
        <w:tc>
          <w:tcPr>
            <w:tcW w:w="76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 xml:space="preserve">MARIA HELENA INACIA SOUZA </w:t>
            </w:r>
          </w:p>
        </w:tc>
      </w:tr>
      <w:tr w:rsidR="00DD635F" w:rsidRPr="00DD635F" w:rsidTr="00DD635F">
        <w:tc>
          <w:tcPr>
            <w:tcW w:w="20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ADVOGADO</w:t>
            </w:r>
          </w:p>
        </w:tc>
        <w:tc>
          <w:tcPr>
            <w:tcW w:w="3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:</w:t>
            </w:r>
          </w:p>
        </w:tc>
        <w:tc>
          <w:tcPr>
            <w:tcW w:w="76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 xml:space="preserve">MG00152866 - ERIK FERNANDO DE OLIVEIRA </w:t>
            </w:r>
          </w:p>
        </w:tc>
      </w:tr>
      <w:tr w:rsidR="00DD635F" w:rsidRPr="00DD635F" w:rsidTr="00DD635F">
        <w:tc>
          <w:tcPr>
            <w:tcW w:w="20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RECORRIDO</w:t>
            </w:r>
          </w:p>
        </w:tc>
        <w:tc>
          <w:tcPr>
            <w:tcW w:w="3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:</w:t>
            </w:r>
          </w:p>
        </w:tc>
        <w:tc>
          <w:tcPr>
            <w:tcW w:w="76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 xml:space="preserve">INSTITUTO NACIONAL DO SEGURO SOCIAL - INSS </w:t>
            </w:r>
          </w:p>
        </w:tc>
      </w:tr>
      <w:tr w:rsidR="00DD635F" w:rsidRPr="00DD635F" w:rsidTr="00DD635F">
        <w:tc>
          <w:tcPr>
            <w:tcW w:w="20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>:</w:t>
            </w:r>
          </w:p>
        </w:tc>
        <w:tc>
          <w:tcPr>
            <w:tcW w:w="7600" w:type="dxa"/>
            <w:shd w:val="clear" w:color="auto" w:fill="auto"/>
          </w:tcPr>
          <w:p w:rsidR="00DD635F" w:rsidRPr="00DD635F" w:rsidRDefault="00DD635F" w:rsidP="00DD635F">
            <w:pPr>
              <w:pStyle w:val="Identificao"/>
            </w:pPr>
            <w:r w:rsidRPr="00DD635F">
              <w:t xml:space="preserve">PROCURADORIA REGIONAL FEDERAL DA 1A REGIAO </w:t>
            </w:r>
          </w:p>
        </w:tc>
      </w:tr>
    </w:tbl>
    <w:p w:rsidR="00DD635F" w:rsidRDefault="00DD635F" w:rsidP="00DD635F">
      <w:pPr>
        <w:pStyle w:val="Identificao"/>
      </w:pPr>
    </w:p>
    <w:p w:rsidR="00DD635F" w:rsidRPr="001E7B41" w:rsidRDefault="00DD635F" w:rsidP="00DD635F">
      <w:pPr>
        <w:pStyle w:val="Corpodetexto"/>
        <w:tabs>
          <w:tab w:val="left" w:pos="180"/>
        </w:tabs>
        <w:spacing w:after="120"/>
        <w:jc w:val="center"/>
        <w:rPr>
          <w:b/>
          <w:sz w:val="24"/>
        </w:rPr>
      </w:pPr>
      <w:r>
        <w:rPr>
          <w:b/>
          <w:iCs/>
          <w:sz w:val="24"/>
          <w:u w:val="single"/>
        </w:rPr>
        <w:t>VOTO VENCEDOR</w:t>
      </w:r>
    </w:p>
    <w:p w:rsidR="00DD635F" w:rsidRPr="001E7B41" w:rsidRDefault="00DD635F" w:rsidP="00DD635F">
      <w:pPr>
        <w:spacing w:after="120"/>
        <w:rPr>
          <w:rFonts w:ascii="Times New Roman" w:hAnsi="Times New Roman"/>
          <w:b/>
        </w:rPr>
      </w:pPr>
      <w:r w:rsidRPr="001E7B41">
        <w:rPr>
          <w:rFonts w:ascii="Times New Roman" w:hAnsi="Times New Roman"/>
          <w:b/>
        </w:rPr>
        <w:t>INCIDENTE DE UNIFORMIZAÇÃO REGIONAL. PREVIDENCIÁRIO. APOSENTADORIA POR IDADE. PERÍODO EM GOZO DE AUXÍLIO-DOENÇA INTERCALADO COM PERÍODOS CONTRIBUTIVOS. CÔMPUTO PARA FINS DE CARÊNCIA. POSSIBILIDADE. TEMA 1.125 DO STF E TEMA 105 DA TNU. QUANTIDADE DE CONTRIBUIÇÕES RECOLHIDAS. IRRELEVÂNCIA. PRECEDENTES DA TNU</w:t>
      </w:r>
      <w:r>
        <w:rPr>
          <w:rFonts w:ascii="Times New Roman" w:hAnsi="Times New Roman"/>
          <w:b/>
        </w:rPr>
        <w:t>.</w:t>
      </w:r>
      <w:r w:rsidRPr="001E7B41">
        <w:rPr>
          <w:rFonts w:ascii="Times New Roman" w:hAnsi="Times New Roman"/>
          <w:b/>
        </w:rPr>
        <w:t xml:space="preserve"> INCIDENTE PROVIDO.</w:t>
      </w: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rPr>
          <w:rFonts w:ascii="Times New Roman" w:hAnsi="Times New Roman"/>
        </w:rPr>
      </w:pPr>
      <w:r w:rsidRPr="001E7B41">
        <w:rPr>
          <w:rFonts w:ascii="Times New Roman" w:hAnsi="Times New Roman"/>
          <w:b/>
        </w:rPr>
        <w:t xml:space="preserve">Caso: </w:t>
      </w:r>
      <w:r w:rsidRPr="001E7B41">
        <w:rPr>
          <w:rFonts w:ascii="Times New Roman" w:hAnsi="Times New Roman"/>
        </w:rPr>
        <w:t xml:space="preserve">incidente de uniformização regional </w:t>
      </w:r>
      <w:bookmarkStart w:id="0" w:name="_Hlk73903838"/>
      <w:r w:rsidRPr="001E7B41">
        <w:rPr>
          <w:rFonts w:ascii="Times New Roman" w:hAnsi="Times New Roman"/>
        </w:rPr>
        <w:t>interposto pela parte autora contra acórdão proferido pela 1ª Turma Recursal de Juiz de Fora/MG que não computou, para fins de carência, o período de gozo de a</w:t>
      </w:r>
      <w:r>
        <w:rPr>
          <w:rFonts w:ascii="Times New Roman" w:hAnsi="Times New Roman"/>
        </w:rPr>
        <w:t xml:space="preserve">uxílio-doença intercalado com </w:t>
      </w:r>
      <w:r w:rsidRPr="001E7B41">
        <w:rPr>
          <w:rFonts w:ascii="Times New Roman" w:hAnsi="Times New Roman"/>
        </w:rPr>
        <w:t>recolhimento de contribuições individuais.</w:t>
      </w: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rPr>
          <w:rFonts w:ascii="Times New Roman" w:hAnsi="Times New Roman"/>
        </w:rPr>
      </w:pPr>
      <w:r w:rsidRPr="001E7B41">
        <w:rPr>
          <w:rFonts w:ascii="Times New Roman" w:hAnsi="Times New Roman"/>
        </w:rPr>
        <w:t>A recorrente sustenta que o acórdão recorrido diverge do entendimento da 3ª Turma Recursal do Distrito Federal, que, no julgamento do recurso inominado</w:t>
      </w:r>
      <w:r>
        <w:rPr>
          <w:rFonts w:ascii="Times New Roman" w:hAnsi="Times New Roman"/>
        </w:rPr>
        <w:t xml:space="preserve"> n.</w:t>
      </w:r>
      <w:r w:rsidRPr="001E7B41">
        <w:rPr>
          <w:rFonts w:ascii="Times New Roman" w:hAnsi="Times New Roman"/>
        </w:rPr>
        <w:t xml:space="preserve"> 0021770-10.2016.4.01.3400, </w:t>
      </w:r>
      <w:proofErr w:type="gramStart"/>
      <w:r w:rsidRPr="001E7B41">
        <w:rPr>
          <w:rFonts w:ascii="Times New Roman" w:hAnsi="Times New Roman"/>
        </w:rPr>
        <w:t>entendeu</w:t>
      </w:r>
      <w:proofErr w:type="gramEnd"/>
      <w:r w:rsidRPr="001E7B41">
        <w:rPr>
          <w:rFonts w:ascii="Times New Roman" w:hAnsi="Times New Roman"/>
        </w:rPr>
        <w:t xml:space="preserve"> </w:t>
      </w:r>
      <w:proofErr w:type="gramStart"/>
      <w:r w:rsidRPr="001E7B41">
        <w:rPr>
          <w:rFonts w:ascii="Times New Roman" w:hAnsi="Times New Roman"/>
        </w:rPr>
        <w:t>cabível</w:t>
      </w:r>
      <w:proofErr w:type="gramEnd"/>
      <w:r w:rsidRPr="001E7B41">
        <w:rPr>
          <w:rFonts w:ascii="Times New Roman" w:hAnsi="Times New Roman"/>
        </w:rPr>
        <w:t xml:space="preserve"> o cômputo do período de auxílio-doença para fins de carência, desde “</w:t>
      </w:r>
      <w:r w:rsidRPr="001E7B41">
        <w:rPr>
          <w:rFonts w:ascii="Times New Roman" w:hAnsi="Times New Roman"/>
          <w:i/>
        </w:rPr>
        <w:t>que tenha havido recolhimento de contribuições previdenciárias antes e depois do gozo do benefício por incapacidade</w:t>
      </w:r>
      <w:r w:rsidRPr="001E7B41">
        <w:rPr>
          <w:rFonts w:ascii="Times New Roman" w:hAnsi="Times New Roman"/>
        </w:rPr>
        <w:t>.”.</w:t>
      </w: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rPr>
          <w:rFonts w:ascii="Times New Roman" w:hAnsi="Times New Roman"/>
        </w:rPr>
      </w:pPr>
      <w:r w:rsidRPr="001E7B41">
        <w:rPr>
          <w:rFonts w:ascii="Times New Roman" w:hAnsi="Times New Roman"/>
          <w:b/>
        </w:rPr>
        <w:t xml:space="preserve">Razões do voto: </w:t>
      </w:r>
      <w:r w:rsidRPr="001E7B41">
        <w:rPr>
          <w:rFonts w:ascii="Times New Roman" w:hAnsi="Times New Roman"/>
        </w:rPr>
        <w:t>No julgamento do recurso extraordinário n. 1.298.832/RS, com repercussão geral (tema 1.125), o STF reafirmou sua jurisprudência sobre o tema e fixou a seguinte tese: “</w:t>
      </w:r>
      <w:r w:rsidRPr="001E7B41">
        <w:rPr>
          <w:rFonts w:ascii="Times New Roman" w:hAnsi="Times New Roman"/>
          <w:i/>
        </w:rPr>
        <w:t xml:space="preserve">é constitucional o cômputo, para fins de carência, do período no qual o segurado esteve em gozo do benefício de auxílio-doença, desde que intercalado com atividade </w:t>
      </w:r>
      <w:proofErr w:type="spellStart"/>
      <w:r w:rsidRPr="001E7B41">
        <w:rPr>
          <w:rFonts w:ascii="Times New Roman" w:hAnsi="Times New Roman"/>
          <w:i/>
        </w:rPr>
        <w:t>laborativa</w:t>
      </w:r>
      <w:proofErr w:type="spellEnd"/>
      <w:r w:rsidRPr="001E7B41">
        <w:rPr>
          <w:rFonts w:ascii="Times New Roman" w:hAnsi="Times New Roman"/>
        </w:rPr>
        <w:t>.”.</w:t>
      </w: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rPr>
          <w:rFonts w:ascii="Times New Roman" w:hAnsi="Times New Roman"/>
        </w:rPr>
      </w:pPr>
      <w:r w:rsidRPr="001E7B41">
        <w:rPr>
          <w:rFonts w:ascii="Times New Roman" w:hAnsi="Times New Roman"/>
        </w:rPr>
        <w:t>Esse mesmo entendimento vem sendo adotado pela TNU, conforme se observa do enunciado da súmula n. 73 e da tese fixada no tema 105 (</w:t>
      </w:r>
      <w:r w:rsidRPr="001E7B41">
        <w:rPr>
          <w:rFonts w:ascii="Times New Roman" w:hAnsi="Times New Roman"/>
          <w:shd w:val="clear" w:color="auto" w:fill="FFFFFF"/>
        </w:rPr>
        <w:t>PEDILEF 0047837-63.2008.4.03.6301/SP, representativo de controvérsia)</w:t>
      </w:r>
      <w:r w:rsidRPr="001E7B41">
        <w:rPr>
          <w:rFonts w:ascii="Times New Roman" w:hAnsi="Times New Roman"/>
        </w:rPr>
        <w:t>:</w:t>
      </w: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ind w:left="1418"/>
        <w:rPr>
          <w:rFonts w:ascii="Times New Roman" w:hAnsi="Times New Roman"/>
          <w:i/>
        </w:rPr>
      </w:pPr>
      <w:r w:rsidRPr="001E7B41">
        <w:rPr>
          <w:rFonts w:ascii="Times New Roman" w:hAnsi="Times New Roman"/>
          <w:i/>
          <w:shd w:val="clear" w:color="auto" w:fill="FFFFFF"/>
        </w:rPr>
        <w:t xml:space="preserve">Súmula 73. O tempo de gozo de auxílio-doença ou de aposentadoria por </w:t>
      </w:r>
      <w:proofErr w:type="gramStart"/>
      <w:r w:rsidRPr="001E7B41">
        <w:rPr>
          <w:rFonts w:ascii="Times New Roman" w:hAnsi="Times New Roman"/>
          <w:i/>
          <w:shd w:val="clear" w:color="auto" w:fill="FFFFFF"/>
        </w:rPr>
        <w:t>invalidez não decorrentes de acidente de trabalho</w:t>
      </w:r>
      <w:proofErr w:type="gramEnd"/>
      <w:r w:rsidRPr="001E7B41">
        <w:rPr>
          <w:rFonts w:ascii="Times New Roman" w:hAnsi="Times New Roman"/>
          <w:i/>
          <w:shd w:val="clear" w:color="auto" w:fill="FFFFFF"/>
        </w:rPr>
        <w:t xml:space="preserve"> só pode ser computado como tempo de contribuição ou para fins de carência quando intercalado entre períodos nos quais houve recolhimento de contribuições para a previdência social.</w:t>
      </w: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ind w:left="1418"/>
        <w:rPr>
          <w:rFonts w:ascii="Times New Roman" w:hAnsi="Times New Roman"/>
        </w:rPr>
      </w:pP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ind w:left="1418"/>
        <w:rPr>
          <w:rFonts w:ascii="Times New Roman" w:hAnsi="Times New Roman"/>
          <w:shd w:val="clear" w:color="auto" w:fill="FFFFFF"/>
        </w:rPr>
      </w:pPr>
      <w:r w:rsidRPr="001E7B41">
        <w:rPr>
          <w:rFonts w:ascii="Times New Roman" w:hAnsi="Times New Roman"/>
        </w:rPr>
        <w:t xml:space="preserve">Tema 105: </w:t>
      </w:r>
      <w:r w:rsidRPr="001E7B41">
        <w:rPr>
          <w:rFonts w:ascii="Times New Roman" w:hAnsi="Times New Roman"/>
          <w:i/>
        </w:rPr>
        <w:t>A</w:t>
      </w:r>
      <w:r w:rsidRPr="001E7B41">
        <w:rPr>
          <w:rFonts w:ascii="Times New Roman" w:hAnsi="Times New Roman"/>
          <w:i/>
          <w:shd w:val="clear" w:color="auto" w:fill="FFFFFF"/>
        </w:rPr>
        <w:t xml:space="preserve"> contagem do tempo de gozo de benefício por incapacidade é admissível para fins de carência, quando intercalado com períodos de contribuição</w:t>
      </w:r>
      <w:r w:rsidRPr="001E7B41">
        <w:rPr>
          <w:rFonts w:ascii="Times New Roman" w:hAnsi="Times New Roman"/>
          <w:shd w:val="clear" w:color="auto" w:fill="FFFFFF"/>
        </w:rPr>
        <w:t>.</w:t>
      </w:r>
    </w:p>
    <w:p w:rsidR="00DD635F" w:rsidRPr="001E7B41" w:rsidRDefault="00DD635F" w:rsidP="00DD635F">
      <w:pPr>
        <w:tabs>
          <w:tab w:val="left" w:pos="1701"/>
        </w:tabs>
        <w:spacing w:before="120" w:line="276" w:lineRule="auto"/>
        <w:rPr>
          <w:rFonts w:ascii="Times New Roman" w:hAnsi="Times New Roman"/>
        </w:rPr>
      </w:pPr>
      <w:r w:rsidRPr="001E7B41">
        <w:rPr>
          <w:rFonts w:ascii="Times New Roman" w:hAnsi="Times New Roman"/>
          <w:shd w:val="clear" w:color="auto" w:fill="FFFFFF"/>
        </w:rPr>
        <w:lastRenderedPageBreak/>
        <w:t xml:space="preserve">Recentemente, </w:t>
      </w:r>
      <w:r w:rsidRPr="001E7B41">
        <w:rPr>
          <w:rFonts w:ascii="Times New Roman" w:hAnsi="Times New Roman"/>
        </w:rPr>
        <w:t xml:space="preserve">no julgamento do PEDILEF n. </w:t>
      </w:r>
      <w:r w:rsidRPr="001E7B41">
        <w:rPr>
          <w:rFonts w:ascii="Times New Roman" w:hAnsi="Times New Roman"/>
          <w:bCs/>
          <w:caps/>
        </w:rPr>
        <w:t>5003954-84.2019.4.04.7200/SC</w:t>
      </w:r>
      <w:r w:rsidRPr="001E7B41">
        <w:rPr>
          <w:rFonts w:ascii="Times New Roman" w:hAnsi="Times New Roman"/>
          <w:b/>
          <w:bCs/>
          <w:caps/>
        </w:rPr>
        <w:t>,</w:t>
      </w:r>
      <w:r w:rsidRPr="001E7B41">
        <w:rPr>
          <w:rFonts w:ascii="Times New Roman" w:hAnsi="Times New Roman"/>
        </w:rPr>
        <w:t xml:space="preserve"> a TNU reafirmou a tese de que “</w:t>
      </w:r>
      <w:r w:rsidRPr="001E7B41">
        <w:rPr>
          <w:rFonts w:ascii="Times New Roman" w:hAnsi="Times New Roman"/>
          <w:i/>
          <w:iCs/>
        </w:rPr>
        <w:t xml:space="preserve">o tempo de gozo de auxílio-doença ou aposentadoria por invalidez, não decorrentes de acidente do trabalho, deve ser computado para fins de tempo de contribuição e carência, quando intercalado com períodos de contribuição, </w:t>
      </w:r>
      <w:r w:rsidRPr="001E7B41">
        <w:rPr>
          <w:rFonts w:ascii="Times New Roman" w:hAnsi="Times New Roman"/>
          <w:b/>
          <w:i/>
          <w:iCs/>
          <w:u w:val="single"/>
        </w:rPr>
        <w:t>independentemente do número de contribuições vertidas e o título a que realizadas</w:t>
      </w:r>
      <w:r w:rsidRPr="001E7B41">
        <w:rPr>
          <w:rFonts w:ascii="Times New Roman" w:hAnsi="Times New Roman"/>
        </w:rPr>
        <w:t xml:space="preserve">". (destaques na transcrição). Nesse mesmo sentido, cito o PEDILEF </w:t>
      </w:r>
      <w:r w:rsidRPr="001E7B41">
        <w:rPr>
          <w:rFonts w:ascii="Times New Roman" w:hAnsi="Times New Roman"/>
          <w:shd w:val="clear" w:color="auto" w:fill="FFFFFF"/>
        </w:rPr>
        <w:t>5014055-05.2018.4.04.7108, relator juiz federal Gustavo Melo Barbosa, julgado em 29/04/2021, e o PEDILEF 5009888-07.2020.4.04.7000, relator juiz federal Fábio de Souza Silva, julgado em 22/03/2022.</w:t>
      </w:r>
    </w:p>
    <w:p w:rsidR="00DD635F" w:rsidRPr="001E7B41" w:rsidRDefault="00DD635F" w:rsidP="00DD635F">
      <w:pPr>
        <w:spacing w:before="120" w:line="276" w:lineRule="auto"/>
        <w:rPr>
          <w:rFonts w:ascii="Times New Roman" w:hAnsi="Times New Roman"/>
        </w:rPr>
      </w:pPr>
      <w:r w:rsidRPr="001E7B41">
        <w:rPr>
          <w:rFonts w:ascii="Times New Roman" w:hAnsi="Times New Roman"/>
          <w:b/>
        </w:rPr>
        <w:t>Conclusão:</w:t>
      </w:r>
      <w:r w:rsidRPr="001E7B41">
        <w:rPr>
          <w:rFonts w:ascii="Times New Roman" w:hAnsi="Times New Roman"/>
        </w:rPr>
        <w:t xml:space="preserve"> diante do exposto, </w:t>
      </w:r>
      <w:r w:rsidRPr="001E7B41">
        <w:rPr>
          <w:rFonts w:ascii="Times New Roman" w:hAnsi="Times New Roman"/>
          <w:b/>
        </w:rPr>
        <w:t>dou provimento</w:t>
      </w:r>
      <w:r w:rsidRPr="001E7B41">
        <w:rPr>
          <w:rFonts w:ascii="Times New Roman" w:hAnsi="Times New Roman"/>
        </w:rPr>
        <w:t xml:space="preserve"> ao incidente de uniformização, determinando o retorno dos autos à turma de origem para fins de adequação do julgado à jurisprudência uniformizada.</w:t>
      </w:r>
    </w:p>
    <w:p w:rsidR="00DD635F" w:rsidRPr="001E7B41" w:rsidRDefault="00DD635F" w:rsidP="00DD635F">
      <w:pPr>
        <w:spacing w:line="276" w:lineRule="auto"/>
        <w:jc w:val="center"/>
        <w:rPr>
          <w:rFonts w:ascii="Times New Roman" w:hAnsi="Times New Roman"/>
          <w:b/>
        </w:rPr>
      </w:pPr>
    </w:p>
    <w:p w:rsidR="00DD635F" w:rsidRPr="001E7B41" w:rsidRDefault="00DD635F" w:rsidP="00DD635F">
      <w:pPr>
        <w:spacing w:line="276" w:lineRule="auto"/>
        <w:jc w:val="center"/>
        <w:rPr>
          <w:rFonts w:ascii="Times New Roman" w:hAnsi="Times New Roman"/>
          <w:b/>
          <w:u w:val="single"/>
        </w:rPr>
      </w:pPr>
      <w:bookmarkStart w:id="1" w:name="_Hlk73903767"/>
      <w:r w:rsidRPr="001E7B41">
        <w:rPr>
          <w:rFonts w:ascii="Times New Roman" w:hAnsi="Times New Roman"/>
          <w:b/>
          <w:u w:val="single"/>
        </w:rPr>
        <w:t>ACÓRDÃO</w:t>
      </w:r>
    </w:p>
    <w:bookmarkEnd w:id="0"/>
    <w:bookmarkEnd w:id="1"/>
    <w:p w:rsidR="00DD635F" w:rsidRPr="001E7B41" w:rsidRDefault="00DD635F" w:rsidP="00DD635F">
      <w:pPr>
        <w:spacing w:line="276" w:lineRule="auto"/>
        <w:rPr>
          <w:rFonts w:ascii="Times New Roman" w:hAnsi="Times New Roman"/>
          <w:noProof/>
        </w:rPr>
      </w:pPr>
      <w:r w:rsidRPr="001E7B41">
        <w:rPr>
          <w:rFonts w:ascii="Times New Roman" w:hAnsi="Times New Roman"/>
          <w:noProof/>
        </w:rPr>
        <w:t xml:space="preserve">Decide a Turma Regional de Uniformização de Jurisprudência das Turmas Recursais dos Juizados Especiais Federais da Primeira Região </w:t>
      </w:r>
      <w:r w:rsidRPr="001E7B41">
        <w:rPr>
          <w:rFonts w:ascii="Times New Roman" w:hAnsi="Times New Roman"/>
          <w:b/>
          <w:noProof/>
        </w:rPr>
        <w:t>dar provimento</w:t>
      </w:r>
      <w:r w:rsidRPr="001E7B41">
        <w:rPr>
          <w:rFonts w:ascii="Times New Roman" w:hAnsi="Times New Roman"/>
          <w:noProof/>
        </w:rPr>
        <w:t xml:space="preserve"> ao incidente de uniformização, nos termos do voto do juiz relator.</w:t>
      </w:r>
    </w:p>
    <w:p w:rsidR="00DD635F" w:rsidRPr="001E7B41" w:rsidRDefault="00DD635F" w:rsidP="00DD635F">
      <w:pPr>
        <w:spacing w:before="120" w:line="276" w:lineRule="auto"/>
        <w:rPr>
          <w:rFonts w:ascii="Times New Roman" w:hAnsi="Times New Roman"/>
          <w:noProof/>
        </w:rPr>
      </w:pPr>
      <w:r w:rsidRPr="001E7B41">
        <w:rPr>
          <w:rFonts w:ascii="Times New Roman" w:hAnsi="Times New Roman"/>
          <w:noProof/>
        </w:rPr>
        <w:t xml:space="preserve">Uberlândia/MG, </w:t>
      </w:r>
      <w:r>
        <w:rPr>
          <w:rFonts w:ascii="Times New Roman" w:hAnsi="Times New Roman"/>
          <w:noProof/>
        </w:rPr>
        <w:t>26 de novembro de 2021 (data da Sessão de Julgamento)</w:t>
      </w:r>
      <w:r w:rsidRPr="001E7B41">
        <w:rPr>
          <w:rFonts w:ascii="Times New Roman" w:hAnsi="Times New Roman"/>
          <w:noProof/>
        </w:rPr>
        <w:t>.</w:t>
      </w:r>
    </w:p>
    <w:p w:rsidR="00DD635F" w:rsidRPr="001E7B41" w:rsidRDefault="00DD635F" w:rsidP="00DD635F">
      <w:pPr>
        <w:spacing w:line="276" w:lineRule="auto"/>
        <w:rPr>
          <w:rFonts w:ascii="Times New Roman" w:hAnsi="Times New Roman"/>
          <w:b/>
          <w:bCs/>
        </w:rPr>
      </w:pPr>
    </w:p>
    <w:p w:rsidR="00DD635F" w:rsidRPr="001E7B41" w:rsidRDefault="00DD635F" w:rsidP="00DD635F">
      <w:pPr>
        <w:spacing w:line="276" w:lineRule="auto"/>
        <w:ind w:left="-357" w:right="249"/>
        <w:jc w:val="center"/>
        <w:rPr>
          <w:rFonts w:ascii="Times New Roman" w:hAnsi="Times New Roman"/>
          <w:b/>
          <w:bCs/>
        </w:rPr>
      </w:pPr>
      <w:r w:rsidRPr="001E7B41">
        <w:rPr>
          <w:rFonts w:ascii="Times New Roman" w:hAnsi="Times New Roman"/>
          <w:b/>
          <w:bCs/>
        </w:rPr>
        <w:t xml:space="preserve">Tales Krauss Queiroz, </w:t>
      </w:r>
    </w:p>
    <w:p w:rsidR="00DD635F" w:rsidRPr="001E7B41" w:rsidRDefault="00DD635F" w:rsidP="00DD635F">
      <w:pPr>
        <w:spacing w:line="276" w:lineRule="auto"/>
        <w:ind w:right="249"/>
        <w:jc w:val="center"/>
        <w:rPr>
          <w:rFonts w:ascii="Times New Roman" w:hAnsi="Times New Roman"/>
        </w:rPr>
      </w:pPr>
      <w:proofErr w:type="gramStart"/>
      <w:r w:rsidRPr="001E7B41">
        <w:rPr>
          <w:rFonts w:ascii="Times New Roman" w:hAnsi="Times New Roman"/>
          <w:b/>
        </w:rPr>
        <w:t>juiz</w:t>
      </w:r>
      <w:proofErr w:type="gramEnd"/>
      <w:r w:rsidRPr="001E7B41">
        <w:rPr>
          <w:rFonts w:ascii="Times New Roman" w:hAnsi="Times New Roman"/>
          <w:b/>
        </w:rPr>
        <w:t xml:space="preserve"> federal relator</w:t>
      </w:r>
    </w:p>
    <w:p w:rsidR="0015179D" w:rsidRPr="00DD635F" w:rsidRDefault="0015179D" w:rsidP="00DD635F">
      <w:pPr>
        <w:pStyle w:val="Identificao"/>
      </w:pPr>
    </w:p>
    <w:sectPr w:rsidR="0015179D" w:rsidRPr="00DD635F" w:rsidSect="004554A7">
      <w:headerReference w:type="default" r:id="rId7"/>
      <w:headerReference w:type="first" r:id="rId8"/>
      <w:footerReference w:type="first" r:id="rId9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35F" w:rsidRDefault="00DD635F">
      <w:r>
        <w:separator/>
      </w:r>
    </w:p>
  </w:endnote>
  <w:endnote w:type="continuationSeparator" w:id="0">
    <w:p w:rsidR="00DD635F" w:rsidRDefault="00DD6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sz w:val="13"/>
      </w:rPr>
    </w:pPr>
    <w:r>
      <w:rPr>
        <w:sz w:val="10"/>
      </w:rPr>
      <w:t>TRF 1ª REGIÃO/IMP.15-02-05</w:t>
    </w:r>
    <w:r>
      <w:rPr>
        <w:sz w:val="10"/>
      </w:rPr>
      <w:tab/>
    </w:r>
    <w:r w:rsidR="008D2515">
      <w:rPr>
        <w:sz w:val="13"/>
      </w:rPr>
      <w:fldChar w:fldCharType="begin"/>
    </w:r>
    <w:r>
      <w:rPr>
        <w:sz w:val="13"/>
      </w:rPr>
      <w:instrText xml:space="preserve"> FILENAME \p </w:instrText>
    </w:r>
    <w:r w:rsidR="008D2515">
      <w:rPr>
        <w:sz w:val="13"/>
      </w:rPr>
      <w:fldChar w:fldCharType="separate"/>
    </w:r>
    <w:r w:rsidR="00DD635F">
      <w:rPr>
        <w:noProof/>
        <w:sz w:val="13"/>
      </w:rPr>
      <w:t>Documento1</w:t>
    </w:r>
    <w:r w:rsidR="008D2515">
      <w:rPr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sz w:val="13"/>
      </w:rPr>
      <w:t xml:space="preserve">Criado por </w:t>
    </w:r>
    <w:r w:rsidR="008D2515">
      <w:rPr>
        <w:sz w:val="13"/>
      </w:rPr>
      <w:fldChar w:fldCharType="begin"/>
    </w:r>
    <w:r>
      <w:rPr>
        <w:sz w:val="13"/>
      </w:rPr>
      <w:instrText xml:space="preserve"> AUTHOR </w:instrText>
    </w:r>
    <w:r w:rsidR="008D2515">
      <w:rPr>
        <w:sz w:val="13"/>
      </w:rPr>
      <w:fldChar w:fldCharType="separate"/>
    </w:r>
    <w:r w:rsidR="00DD635F">
      <w:rPr>
        <w:noProof/>
        <w:sz w:val="13"/>
      </w:rPr>
      <w:t>tr98403</w:t>
    </w:r>
    <w:r w:rsidR="008D2515">
      <w:rPr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35F" w:rsidRDefault="00DD635F">
      <w:r>
        <w:separator/>
      </w:r>
    </w:p>
  </w:footnote>
  <w:footnote w:type="continuationSeparator" w:id="0">
    <w:p w:rsidR="00DD635F" w:rsidRDefault="00DD63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sz w:val="16"/>
      </w:rPr>
    </w:pPr>
    <w:r>
      <w:rPr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cs="Arial"/>
        <w:bCs/>
        <w:sz w:val="16"/>
      </w:rPr>
    </w:pPr>
    <w:r>
      <w:rPr>
        <w:b/>
        <w:sz w:val="20"/>
      </w:rPr>
      <w:t>TRIBUNAL REGIONAL FEDERAL DA PRIMEIRA REGIÃO</w:t>
    </w:r>
    <w:r>
      <w:rPr>
        <w:b/>
        <w:sz w:val="20"/>
      </w:rPr>
      <w:tab/>
    </w:r>
    <w:r>
      <w:rPr>
        <w:rFonts w:cs="Arial"/>
        <w:bCs/>
        <w:sz w:val="16"/>
      </w:rPr>
      <w:t>fls.</w:t>
    </w:r>
    <w:r w:rsidR="008D2515">
      <w:rPr>
        <w:rFonts w:cs="Arial"/>
        <w:bCs/>
        <w:sz w:val="16"/>
      </w:rPr>
      <w:fldChar w:fldCharType="begin"/>
    </w:r>
    <w:r>
      <w:rPr>
        <w:rFonts w:cs="Arial"/>
        <w:bCs/>
        <w:sz w:val="16"/>
      </w:rPr>
      <w:instrText xml:space="preserve"> PAGE </w:instrText>
    </w:r>
    <w:r w:rsidR="008D2515">
      <w:rPr>
        <w:rFonts w:cs="Arial"/>
        <w:bCs/>
        <w:sz w:val="16"/>
      </w:rPr>
      <w:fldChar w:fldCharType="separate"/>
    </w:r>
    <w:r w:rsidR="00185AC2">
      <w:rPr>
        <w:rFonts w:cs="Arial"/>
        <w:bCs/>
        <w:noProof/>
        <w:sz w:val="16"/>
      </w:rPr>
      <w:t>2</w:t>
    </w:r>
    <w:r w:rsidR="008D2515">
      <w:rPr>
        <w:rFonts w:cs="Arial"/>
        <w:bCs/>
        <w:sz w:val="16"/>
      </w:rPr>
      <w:fldChar w:fldCharType="end"/>
    </w:r>
    <w:r>
      <w:rPr>
        <w:rFonts w:cs="Arial"/>
        <w:bCs/>
        <w:sz w:val="16"/>
      </w:rPr>
      <w:t>/</w:t>
    </w:r>
    <w:r w:rsidR="008D2515">
      <w:rPr>
        <w:rFonts w:cs="Arial"/>
        <w:bCs/>
        <w:sz w:val="16"/>
      </w:rPr>
      <w:fldChar w:fldCharType="begin"/>
    </w:r>
    <w:r>
      <w:rPr>
        <w:rFonts w:cs="Arial"/>
        <w:bCs/>
        <w:sz w:val="16"/>
      </w:rPr>
      <w:instrText xml:space="preserve"> NUMPAGES </w:instrText>
    </w:r>
    <w:r w:rsidR="008D2515">
      <w:rPr>
        <w:rFonts w:cs="Arial"/>
        <w:bCs/>
        <w:sz w:val="16"/>
      </w:rPr>
      <w:fldChar w:fldCharType="separate"/>
    </w:r>
    <w:r w:rsidR="00185AC2">
      <w:rPr>
        <w:rFonts w:cs="Arial"/>
        <w:bCs/>
        <w:noProof/>
        <w:sz w:val="16"/>
      </w:rPr>
      <w:t>2</w:t>
    </w:r>
    <w:r w:rsidR="008D2515">
      <w:rPr>
        <w:rFonts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35F" w:rsidRPr="00DD635F" w:rsidRDefault="00DD635F" w:rsidP="00DD635F">
    <w:pPr>
      <w:jc w:val="right"/>
      <w:rPr>
        <w:rFonts w:ascii="Interleaved 2of5" w:hAnsi="Interleaved 2of5"/>
        <w:sz w:val="48"/>
      </w:rPr>
    </w:pPr>
    <w:r w:rsidRPr="00DD635F">
      <w:rPr>
        <w:rFonts w:ascii="Interleaved 2of5" w:hAnsi="Interleaved 2of5"/>
        <w:sz w:val="48"/>
      </w:rPr>
      <w:t>(</w:t>
    </w:r>
    <w:proofErr w:type="gramStart"/>
    <w:r w:rsidRPr="00DD635F">
      <w:rPr>
        <w:rFonts w:ascii="Interleaved 2of5" w:hAnsi="Interleaved 2of5"/>
        <w:sz w:val="48"/>
      </w:rPr>
      <w:t>49àÖ1Ä1VC</w:t>
    </w:r>
    <w:proofErr w:type="gramEnd"/>
    <w:r w:rsidRPr="00DD635F">
      <w:rPr>
        <w:rFonts w:ascii="Interleaved 2of5" w:hAnsi="Interleaved 2of5"/>
        <w:sz w:val="48"/>
      </w:rPr>
      <w:t>)</w:t>
    </w:r>
  </w:p>
  <w:p w:rsidR="004554A7" w:rsidRDefault="00DD635F" w:rsidP="004554A7">
    <w:pPr>
      <w:spacing w:before="120"/>
      <w:jc w:val="center"/>
      <w:rPr>
        <w:sz w:val="16"/>
      </w:rPr>
    </w:pPr>
    <w:r>
      <w:rPr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sz w:val="16"/>
      </w:rPr>
    </w:pPr>
    <w:r>
      <w:rPr>
        <w:sz w:val="16"/>
      </w:rPr>
      <w:t>PODER JUDICIÁRIO</w:t>
    </w:r>
  </w:p>
  <w:p w:rsidR="00413610" w:rsidRDefault="00413610" w:rsidP="004554A7">
    <w:pPr>
      <w:jc w:val="center"/>
    </w:pPr>
    <w:r>
      <w:rPr>
        <w:b/>
        <w:sz w:val="20"/>
      </w:rPr>
      <w:t>TRIBUNAL REGIONAL FEDERAL DA PRIMEIRA REGIÃO</w:t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2515"/>
    <w:rsid w:val="0015179D"/>
    <w:rsid w:val="00185AC2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8D2515"/>
    <w:rsid w:val="0099169E"/>
    <w:rsid w:val="00C5492A"/>
    <w:rsid w:val="00D221D6"/>
    <w:rsid w:val="00DD0AC9"/>
    <w:rsid w:val="00DD635F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635F"/>
    <w:pPr>
      <w:jc w:val="both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8D2515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8D2515"/>
    <w:pPr>
      <w:spacing w:before="120" w:after="120"/>
      <w:ind w:firstLine="1418"/>
    </w:pPr>
    <w:rPr>
      <w:sz w:val="22"/>
    </w:rPr>
  </w:style>
  <w:style w:type="paragraph" w:customStyle="1" w:styleId="centralizar">
    <w:name w:val="centralizar"/>
    <w:basedOn w:val="Pargrafo"/>
    <w:next w:val="Pargrafo"/>
    <w:rsid w:val="008D2515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D2515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jc w:val="left"/>
    </w:pPr>
    <w:rPr>
      <w:rFonts w:ascii="Times New Roman" w:hAnsi="Times New Roman"/>
    </w:rPr>
  </w:style>
  <w:style w:type="paragraph" w:customStyle="1" w:styleId="transcrio2">
    <w:name w:val="transcrição 2"/>
    <w:basedOn w:val="Transcrio"/>
    <w:rsid w:val="008D2515"/>
    <w:pPr>
      <w:ind w:left="2835"/>
    </w:pPr>
  </w:style>
  <w:style w:type="paragraph" w:customStyle="1" w:styleId="transcrio3">
    <w:name w:val="transcrição 3"/>
    <w:basedOn w:val="Identificao"/>
    <w:rsid w:val="008D2515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D2515"/>
    <w:pPr>
      <w:ind w:left="4536"/>
    </w:pPr>
  </w:style>
  <w:style w:type="paragraph" w:customStyle="1" w:styleId="assinatura">
    <w:name w:val="assinatura"/>
    <w:basedOn w:val="Pargrafo"/>
    <w:rsid w:val="008D2515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D2515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jc w:val="left"/>
    </w:pPr>
    <w:rPr>
      <w:rFonts w:ascii="Times New Roman" w:hAnsi="Times New Roman"/>
    </w:rPr>
  </w:style>
  <w:style w:type="paragraph" w:styleId="TextosemFormatao">
    <w:name w:val="Plain Text"/>
    <w:basedOn w:val="Normal"/>
    <w:link w:val="TextosemFormataoChar"/>
    <w:uiPriority w:val="99"/>
    <w:unhideWhenUsed/>
    <w:rsid w:val="00DD635F"/>
    <w:pPr>
      <w:jc w:val="left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D635F"/>
    <w:rPr>
      <w:rFonts w:ascii="Consolas" w:eastAsiaTheme="minorHAnsi" w:hAnsi="Consolas" w:cstheme="minorBidi"/>
      <w:sz w:val="21"/>
      <w:szCs w:val="21"/>
      <w:lang w:eastAsia="en-US"/>
    </w:rPr>
  </w:style>
  <w:style w:type="paragraph" w:styleId="Corpodetexto">
    <w:name w:val="Body Text"/>
    <w:basedOn w:val="Normal"/>
    <w:link w:val="CorpodetextoChar"/>
    <w:rsid w:val="00DD635F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DD635F"/>
    <w:rPr>
      <w:sz w:val="28"/>
      <w:szCs w:val="24"/>
    </w:rPr>
  </w:style>
  <w:style w:type="paragraph" w:styleId="Textodebalo">
    <w:name w:val="Balloon Text"/>
    <w:basedOn w:val="Normal"/>
    <w:link w:val="TextodebaloChar"/>
    <w:rsid w:val="00185A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85A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3</TotalTime>
  <Pages>2</Pages>
  <Words>516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tr98403</dc:creator>
  <cp:lastModifiedBy>tr98403</cp:lastModifiedBy>
  <cp:revision>2</cp:revision>
  <dcterms:created xsi:type="dcterms:W3CDTF">2022-06-27T14:15:00Z</dcterms:created>
  <dcterms:modified xsi:type="dcterms:W3CDTF">2022-06-27T14:24:00Z</dcterms:modified>
</cp:coreProperties>
</file>