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0F66" w:rsidRDefault="002C0F66" w:rsidP="00FA3A79">
      <w:pPr>
        <w:pStyle w:val="TextosemFormatao"/>
        <w:rPr>
          <w:rFonts w:ascii="Courier New" w:hAnsi="Courier New" w:cs="Courier New"/>
        </w:rPr>
      </w:pPr>
    </w:p>
    <w:p w:rsidR="002C0F66" w:rsidRPr="00FA3A79" w:rsidRDefault="002C0F66" w:rsidP="002C0F66">
      <w:pPr>
        <w:pStyle w:val="Identificao"/>
      </w:pPr>
      <w:r w:rsidRPr="00FA3A79">
        <w:t xml:space="preserve">Numeração Única: 567805220144019199 </w:t>
      </w:r>
    </w:p>
    <w:p w:rsidR="002C0F66" w:rsidRPr="00FA3A79" w:rsidRDefault="002C0F66" w:rsidP="002C0F66">
      <w:pPr>
        <w:pStyle w:val="Identificao"/>
      </w:pPr>
      <w:r w:rsidRPr="00FA3A79">
        <w:t>APELAÇÃO CÍVEL</w:t>
      </w:r>
      <w:proofErr w:type="gramStart"/>
      <w:r w:rsidRPr="00FA3A79">
        <w:t xml:space="preserve">  </w:t>
      </w:r>
      <w:proofErr w:type="gramEnd"/>
      <w:r w:rsidRPr="00FA3A79">
        <w:t>0056780-52.2014.4.01.9199/GO</w:t>
      </w:r>
    </w:p>
    <w:p w:rsidR="002C0F66" w:rsidRPr="00FA3A79" w:rsidRDefault="002C0F66" w:rsidP="002C0F66">
      <w:pPr>
        <w:pStyle w:val="Identificao"/>
      </w:pPr>
      <w:r w:rsidRPr="00FA3A79">
        <w:t>Processo na Origem: 1780104220108090082</w:t>
      </w:r>
    </w:p>
    <w:p w:rsidR="002C0F66" w:rsidRDefault="002C0F66" w:rsidP="002C0F66">
      <w:pPr>
        <w:pStyle w:val="Identificao"/>
      </w:pPr>
    </w:p>
    <w:tbl>
      <w:tblPr>
        <w:tblW w:w="990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000"/>
        <w:gridCol w:w="300"/>
        <w:gridCol w:w="7600"/>
      </w:tblGrid>
      <w:tr w:rsidR="002C0F66" w:rsidRPr="002C0F66" w:rsidTr="002C0F66">
        <w:tc>
          <w:tcPr>
            <w:tcW w:w="2000" w:type="dxa"/>
            <w:shd w:val="clear" w:color="auto" w:fill="auto"/>
          </w:tcPr>
          <w:p w:rsidR="002C0F66" w:rsidRPr="002C0F66" w:rsidRDefault="002C0F66" w:rsidP="002C0F66">
            <w:pPr>
              <w:pStyle w:val="Identificao"/>
            </w:pPr>
            <w:proofErr w:type="gramStart"/>
            <w:r w:rsidRPr="002C0F66">
              <w:t>RELATOR(</w:t>
            </w:r>
            <w:proofErr w:type="gramEnd"/>
            <w:r w:rsidRPr="002C0F66">
              <w:t>A)</w:t>
            </w:r>
          </w:p>
        </w:tc>
        <w:tc>
          <w:tcPr>
            <w:tcW w:w="300" w:type="dxa"/>
            <w:shd w:val="clear" w:color="auto" w:fill="auto"/>
          </w:tcPr>
          <w:p w:rsidR="002C0F66" w:rsidRPr="002C0F66" w:rsidRDefault="002C0F66" w:rsidP="002C0F66">
            <w:pPr>
              <w:pStyle w:val="Identificao"/>
            </w:pPr>
            <w:r w:rsidRPr="002C0F66">
              <w:t>:</w:t>
            </w:r>
          </w:p>
        </w:tc>
        <w:tc>
          <w:tcPr>
            <w:tcW w:w="7600" w:type="dxa"/>
            <w:shd w:val="clear" w:color="auto" w:fill="auto"/>
          </w:tcPr>
          <w:p w:rsidR="002C0F66" w:rsidRPr="002C0F66" w:rsidRDefault="002C0F66" w:rsidP="002C0F66">
            <w:pPr>
              <w:pStyle w:val="Identificao"/>
            </w:pPr>
            <w:r w:rsidRPr="002C0F66">
              <w:t>JUIZ FEDERAL SAULO JOSÉ CASALI BAHIA</w:t>
            </w:r>
          </w:p>
        </w:tc>
      </w:tr>
      <w:tr w:rsidR="002C0F66" w:rsidRPr="002C0F66" w:rsidTr="002C0F66">
        <w:tc>
          <w:tcPr>
            <w:tcW w:w="2000" w:type="dxa"/>
            <w:shd w:val="clear" w:color="auto" w:fill="auto"/>
          </w:tcPr>
          <w:p w:rsidR="002C0F66" w:rsidRPr="002C0F66" w:rsidRDefault="002C0F66" w:rsidP="002C0F66">
            <w:pPr>
              <w:pStyle w:val="Identificao"/>
            </w:pPr>
            <w:r w:rsidRPr="002C0F66">
              <w:t>APELANTE</w:t>
            </w:r>
          </w:p>
        </w:tc>
        <w:tc>
          <w:tcPr>
            <w:tcW w:w="300" w:type="dxa"/>
            <w:shd w:val="clear" w:color="auto" w:fill="auto"/>
          </w:tcPr>
          <w:p w:rsidR="002C0F66" w:rsidRPr="002C0F66" w:rsidRDefault="002C0F66" w:rsidP="002C0F66">
            <w:pPr>
              <w:pStyle w:val="Identificao"/>
            </w:pPr>
            <w:r w:rsidRPr="002C0F66">
              <w:t>:</w:t>
            </w:r>
          </w:p>
        </w:tc>
        <w:tc>
          <w:tcPr>
            <w:tcW w:w="7600" w:type="dxa"/>
            <w:shd w:val="clear" w:color="auto" w:fill="auto"/>
          </w:tcPr>
          <w:p w:rsidR="002C0F66" w:rsidRPr="002C0F66" w:rsidRDefault="002C0F66" w:rsidP="002C0F66">
            <w:pPr>
              <w:pStyle w:val="Identificao"/>
            </w:pPr>
            <w:r w:rsidRPr="002C0F66">
              <w:t xml:space="preserve">JOSE GOMES DE OLIVEIRA FILHO </w:t>
            </w:r>
          </w:p>
        </w:tc>
      </w:tr>
      <w:tr w:rsidR="002C0F66" w:rsidRPr="002C0F66" w:rsidTr="002C0F66">
        <w:tc>
          <w:tcPr>
            <w:tcW w:w="2000" w:type="dxa"/>
            <w:shd w:val="clear" w:color="auto" w:fill="auto"/>
          </w:tcPr>
          <w:p w:rsidR="002C0F66" w:rsidRPr="002C0F66" w:rsidRDefault="002C0F66" w:rsidP="002C0F66">
            <w:pPr>
              <w:pStyle w:val="Identificao"/>
            </w:pPr>
            <w:r w:rsidRPr="002C0F66">
              <w:t>ADVOGADO</w:t>
            </w:r>
          </w:p>
        </w:tc>
        <w:tc>
          <w:tcPr>
            <w:tcW w:w="300" w:type="dxa"/>
            <w:shd w:val="clear" w:color="auto" w:fill="auto"/>
          </w:tcPr>
          <w:p w:rsidR="002C0F66" w:rsidRPr="002C0F66" w:rsidRDefault="002C0F66" w:rsidP="002C0F66">
            <w:pPr>
              <w:pStyle w:val="Identificao"/>
            </w:pPr>
            <w:r w:rsidRPr="002C0F66">
              <w:t>:</w:t>
            </w:r>
          </w:p>
        </w:tc>
        <w:tc>
          <w:tcPr>
            <w:tcW w:w="7600" w:type="dxa"/>
            <w:shd w:val="clear" w:color="auto" w:fill="auto"/>
          </w:tcPr>
          <w:p w:rsidR="002C0F66" w:rsidRPr="002C0F66" w:rsidRDefault="002C0F66" w:rsidP="002C0F66">
            <w:pPr>
              <w:pStyle w:val="Identificao"/>
            </w:pPr>
            <w:r w:rsidRPr="002C0F66">
              <w:t xml:space="preserve">GO0029702A - MARCIO JOSE BORDENALLI E </w:t>
            </w:r>
            <w:proofErr w:type="gramStart"/>
            <w:r w:rsidRPr="002C0F66">
              <w:t>OUTROS(</w:t>
            </w:r>
            <w:proofErr w:type="gramEnd"/>
            <w:r w:rsidRPr="002C0F66">
              <w:t>AS)</w:t>
            </w:r>
          </w:p>
        </w:tc>
      </w:tr>
      <w:tr w:rsidR="002C0F66" w:rsidRPr="002C0F66" w:rsidTr="002C0F66">
        <w:tc>
          <w:tcPr>
            <w:tcW w:w="2000" w:type="dxa"/>
            <w:shd w:val="clear" w:color="auto" w:fill="auto"/>
          </w:tcPr>
          <w:p w:rsidR="002C0F66" w:rsidRPr="002C0F66" w:rsidRDefault="002C0F66" w:rsidP="002C0F66">
            <w:pPr>
              <w:pStyle w:val="Identificao"/>
            </w:pPr>
            <w:r w:rsidRPr="002C0F66">
              <w:t>APELANTE</w:t>
            </w:r>
          </w:p>
        </w:tc>
        <w:tc>
          <w:tcPr>
            <w:tcW w:w="300" w:type="dxa"/>
            <w:shd w:val="clear" w:color="auto" w:fill="auto"/>
          </w:tcPr>
          <w:p w:rsidR="002C0F66" w:rsidRPr="002C0F66" w:rsidRDefault="002C0F66" w:rsidP="002C0F66">
            <w:pPr>
              <w:pStyle w:val="Identificao"/>
            </w:pPr>
            <w:r w:rsidRPr="002C0F66">
              <w:t>:</w:t>
            </w:r>
          </w:p>
        </w:tc>
        <w:tc>
          <w:tcPr>
            <w:tcW w:w="7600" w:type="dxa"/>
            <w:shd w:val="clear" w:color="auto" w:fill="auto"/>
          </w:tcPr>
          <w:p w:rsidR="002C0F66" w:rsidRPr="002C0F66" w:rsidRDefault="002C0F66" w:rsidP="002C0F66">
            <w:pPr>
              <w:pStyle w:val="Identificao"/>
            </w:pPr>
            <w:r w:rsidRPr="002C0F66">
              <w:t xml:space="preserve">INSTITUTO NACIONAL DO SEGURO SOCIAL - INSS </w:t>
            </w:r>
          </w:p>
        </w:tc>
      </w:tr>
      <w:tr w:rsidR="002C0F66" w:rsidRPr="002C0F66" w:rsidTr="002C0F66">
        <w:tc>
          <w:tcPr>
            <w:tcW w:w="2000" w:type="dxa"/>
            <w:shd w:val="clear" w:color="auto" w:fill="auto"/>
          </w:tcPr>
          <w:p w:rsidR="002C0F66" w:rsidRPr="002C0F66" w:rsidRDefault="002C0F66" w:rsidP="002C0F66">
            <w:pPr>
              <w:pStyle w:val="Identificao"/>
            </w:pPr>
            <w:r w:rsidRPr="002C0F66">
              <w:t>PROCURADOR</w:t>
            </w:r>
          </w:p>
        </w:tc>
        <w:tc>
          <w:tcPr>
            <w:tcW w:w="300" w:type="dxa"/>
            <w:shd w:val="clear" w:color="auto" w:fill="auto"/>
          </w:tcPr>
          <w:p w:rsidR="002C0F66" w:rsidRPr="002C0F66" w:rsidRDefault="002C0F66" w:rsidP="002C0F66">
            <w:pPr>
              <w:pStyle w:val="Identificao"/>
            </w:pPr>
            <w:r w:rsidRPr="002C0F66">
              <w:t>:</w:t>
            </w:r>
          </w:p>
        </w:tc>
        <w:tc>
          <w:tcPr>
            <w:tcW w:w="7600" w:type="dxa"/>
            <w:shd w:val="clear" w:color="auto" w:fill="auto"/>
          </w:tcPr>
          <w:p w:rsidR="002C0F66" w:rsidRPr="002C0F66" w:rsidRDefault="002C0F66" w:rsidP="002C0F66">
            <w:pPr>
              <w:pStyle w:val="Identificao"/>
            </w:pPr>
            <w:r w:rsidRPr="002C0F66">
              <w:t xml:space="preserve">PROCURADORIA REGIONAL FEDERAL DA 1ª REGIÃO </w:t>
            </w:r>
          </w:p>
        </w:tc>
      </w:tr>
      <w:tr w:rsidR="002C0F66" w:rsidRPr="002C0F66" w:rsidTr="002C0F66">
        <w:tc>
          <w:tcPr>
            <w:tcW w:w="2000" w:type="dxa"/>
            <w:shd w:val="clear" w:color="auto" w:fill="auto"/>
          </w:tcPr>
          <w:p w:rsidR="002C0F66" w:rsidRPr="002C0F66" w:rsidRDefault="002C0F66" w:rsidP="002C0F66">
            <w:pPr>
              <w:pStyle w:val="Identificao"/>
            </w:pPr>
            <w:r w:rsidRPr="002C0F66">
              <w:t>APELADO</w:t>
            </w:r>
          </w:p>
        </w:tc>
        <w:tc>
          <w:tcPr>
            <w:tcW w:w="300" w:type="dxa"/>
            <w:shd w:val="clear" w:color="auto" w:fill="auto"/>
          </w:tcPr>
          <w:p w:rsidR="002C0F66" w:rsidRPr="002C0F66" w:rsidRDefault="002C0F66" w:rsidP="002C0F66">
            <w:pPr>
              <w:pStyle w:val="Identificao"/>
            </w:pPr>
            <w:r w:rsidRPr="002C0F66">
              <w:t>:</w:t>
            </w:r>
          </w:p>
        </w:tc>
        <w:tc>
          <w:tcPr>
            <w:tcW w:w="7600" w:type="dxa"/>
            <w:shd w:val="clear" w:color="auto" w:fill="auto"/>
          </w:tcPr>
          <w:p w:rsidR="002C0F66" w:rsidRPr="002C0F66" w:rsidRDefault="002C0F66" w:rsidP="002C0F66">
            <w:pPr>
              <w:pStyle w:val="Identificao"/>
            </w:pPr>
            <w:r w:rsidRPr="002C0F66">
              <w:t xml:space="preserve">OS MESMOS </w:t>
            </w:r>
          </w:p>
        </w:tc>
      </w:tr>
    </w:tbl>
    <w:p w:rsidR="002C0F66" w:rsidRDefault="002C0F66" w:rsidP="002C0F66">
      <w:pPr>
        <w:pStyle w:val="Identificao"/>
      </w:pPr>
    </w:p>
    <w:p w:rsidR="00AE3623" w:rsidRPr="009B69E6" w:rsidRDefault="00AE3623" w:rsidP="00AE3623">
      <w:pPr>
        <w:spacing w:before="100" w:beforeAutospacing="1" w:after="100" w:afterAutospacing="1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9B69E6">
        <w:rPr>
          <w:rFonts w:ascii="Arial" w:hAnsi="Arial" w:cs="Arial"/>
          <w:b/>
          <w:color w:val="000000"/>
          <w:sz w:val="22"/>
          <w:szCs w:val="22"/>
        </w:rPr>
        <w:t>E M E N T A</w:t>
      </w:r>
    </w:p>
    <w:p w:rsidR="00AE3623" w:rsidRDefault="00AE3623" w:rsidP="00AE3623">
      <w:pPr>
        <w:pStyle w:val="Pargrafo"/>
        <w:spacing w:before="0" w:after="0"/>
        <w:ind w:firstLine="0"/>
        <w:rPr>
          <w:rFonts w:cs="Arial"/>
          <w:b/>
          <w:color w:val="000000"/>
          <w:szCs w:val="22"/>
        </w:rPr>
      </w:pPr>
      <w:r w:rsidRPr="00AE3623">
        <w:rPr>
          <w:rFonts w:cs="Arial"/>
          <w:b/>
          <w:color w:val="000000"/>
          <w:szCs w:val="22"/>
        </w:rPr>
        <w:t xml:space="preserve">PREVIDENCIÁRIO. APOSENTADORIA POR TEMPO DE CONTRIBUIÇÃO. ATIVIDADE RURAL. INÍCIO RAZOÁVEL DE PROVA MATERIAL. RMI. CONSECTÁRIOS LEGAIS. </w:t>
      </w:r>
    </w:p>
    <w:p w:rsidR="00AE3623" w:rsidRDefault="00AE3623" w:rsidP="00AE3623">
      <w:pPr>
        <w:pStyle w:val="Pargrafo"/>
        <w:spacing w:before="0" w:after="0"/>
        <w:ind w:firstLine="0"/>
        <w:rPr>
          <w:rFonts w:cs="Arial"/>
          <w:color w:val="000000"/>
          <w:szCs w:val="22"/>
        </w:rPr>
      </w:pPr>
      <w:r>
        <w:rPr>
          <w:rFonts w:cs="Arial"/>
          <w:b/>
          <w:color w:val="000000"/>
          <w:szCs w:val="22"/>
        </w:rPr>
        <w:t xml:space="preserve">1. </w:t>
      </w:r>
      <w:r>
        <w:rPr>
          <w:rFonts w:cs="Arial"/>
          <w:color w:val="000000"/>
          <w:szCs w:val="22"/>
        </w:rPr>
        <w:t>Hipótese de</w:t>
      </w:r>
      <w:r w:rsidRPr="009B69E6">
        <w:rPr>
          <w:rFonts w:cs="Arial"/>
          <w:color w:val="000000"/>
          <w:szCs w:val="22"/>
        </w:rPr>
        <w:t xml:space="preserve"> apelação d</w:t>
      </w:r>
      <w:r>
        <w:rPr>
          <w:rFonts w:cs="Arial"/>
          <w:color w:val="000000"/>
          <w:szCs w:val="22"/>
        </w:rPr>
        <w:t>o INSS e da</w:t>
      </w:r>
      <w:r w:rsidRPr="009B69E6">
        <w:rPr>
          <w:rFonts w:cs="Arial"/>
          <w:color w:val="000000"/>
          <w:szCs w:val="22"/>
        </w:rPr>
        <w:t xml:space="preserve"> parte autora em face de sentença</w:t>
      </w:r>
      <w:r>
        <w:rPr>
          <w:rFonts w:cs="Arial"/>
          <w:color w:val="000000"/>
          <w:szCs w:val="22"/>
        </w:rPr>
        <w:t xml:space="preserve"> que</w:t>
      </w:r>
      <w:r w:rsidRPr="009B69E6">
        <w:rPr>
          <w:rFonts w:cs="Arial"/>
          <w:color w:val="000000"/>
          <w:szCs w:val="22"/>
        </w:rPr>
        <w:t xml:space="preserve"> julgou </w:t>
      </w:r>
      <w:r>
        <w:rPr>
          <w:rFonts w:cs="Arial"/>
          <w:color w:val="000000"/>
          <w:szCs w:val="22"/>
        </w:rPr>
        <w:t>p</w:t>
      </w:r>
      <w:r w:rsidRPr="009B69E6">
        <w:rPr>
          <w:rFonts w:cs="Arial"/>
          <w:color w:val="000000"/>
          <w:szCs w:val="22"/>
        </w:rPr>
        <w:t xml:space="preserve">rocedente o pedido de aposentadoria por tempo de contribuição com reconhecimento de tempo rural de </w:t>
      </w:r>
      <w:r>
        <w:rPr>
          <w:rFonts w:cs="Arial"/>
          <w:color w:val="000000"/>
          <w:szCs w:val="22"/>
        </w:rPr>
        <w:t>08</w:t>
      </w:r>
      <w:r w:rsidRPr="009B69E6">
        <w:rPr>
          <w:rFonts w:cs="Arial"/>
          <w:color w:val="000000"/>
          <w:szCs w:val="22"/>
        </w:rPr>
        <w:t>/0</w:t>
      </w:r>
      <w:r>
        <w:rPr>
          <w:rFonts w:cs="Arial"/>
          <w:color w:val="000000"/>
          <w:szCs w:val="22"/>
        </w:rPr>
        <w:t>2</w:t>
      </w:r>
      <w:r w:rsidRPr="009B69E6">
        <w:rPr>
          <w:rFonts w:cs="Arial"/>
          <w:color w:val="000000"/>
          <w:szCs w:val="22"/>
        </w:rPr>
        <w:t>/19</w:t>
      </w:r>
      <w:r>
        <w:rPr>
          <w:rFonts w:cs="Arial"/>
          <w:color w:val="000000"/>
          <w:szCs w:val="22"/>
        </w:rPr>
        <w:t>61</w:t>
      </w:r>
      <w:r w:rsidRPr="009B69E6">
        <w:rPr>
          <w:rFonts w:cs="Arial"/>
          <w:color w:val="000000"/>
          <w:szCs w:val="22"/>
        </w:rPr>
        <w:t xml:space="preserve"> a 3</w:t>
      </w:r>
      <w:r>
        <w:rPr>
          <w:rFonts w:cs="Arial"/>
          <w:color w:val="000000"/>
          <w:szCs w:val="22"/>
        </w:rPr>
        <w:t>0</w:t>
      </w:r>
      <w:r w:rsidRPr="009B69E6">
        <w:rPr>
          <w:rFonts w:cs="Arial"/>
          <w:color w:val="000000"/>
          <w:szCs w:val="22"/>
        </w:rPr>
        <w:t>/</w:t>
      </w:r>
      <w:r>
        <w:rPr>
          <w:rFonts w:cs="Arial"/>
          <w:color w:val="000000"/>
          <w:szCs w:val="22"/>
        </w:rPr>
        <w:t>03</w:t>
      </w:r>
      <w:r w:rsidRPr="009B69E6">
        <w:rPr>
          <w:rFonts w:cs="Arial"/>
          <w:color w:val="000000"/>
          <w:szCs w:val="22"/>
        </w:rPr>
        <w:t>/197</w:t>
      </w:r>
      <w:r>
        <w:rPr>
          <w:rFonts w:cs="Arial"/>
          <w:color w:val="000000"/>
          <w:szCs w:val="22"/>
        </w:rPr>
        <w:t xml:space="preserve">7. </w:t>
      </w:r>
    </w:p>
    <w:p w:rsidR="00AE3623" w:rsidRDefault="00AE3623" w:rsidP="00AE3623">
      <w:pPr>
        <w:pStyle w:val="Pargrafo"/>
        <w:spacing w:before="0" w:after="0"/>
        <w:ind w:firstLine="0"/>
        <w:rPr>
          <w:rFonts w:cs="Arial"/>
          <w:color w:val="000000"/>
          <w:szCs w:val="22"/>
        </w:rPr>
      </w:pPr>
      <w:r w:rsidRPr="00AE3623">
        <w:rPr>
          <w:rFonts w:cs="Arial"/>
          <w:b/>
          <w:color w:val="000000"/>
          <w:szCs w:val="22"/>
        </w:rPr>
        <w:t>2.</w:t>
      </w:r>
      <w:r>
        <w:rPr>
          <w:rFonts w:cs="Arial"/>
          <w:color w:val="000000"/>
          <w:szCs w:val="22"/>
        </w:rPr>
        <w:t xml:space="preserve"> </w:t>
      </w:r>
      <w:r w:rsidRPr="009B69E6">
        <w:rPr>
          <w:rFonts w:cs="Arial"/>
          <w:color w:val="000000"/>
          <w:szCs w:val="22"/>
        </w:rPr>
        <w:t>Como é sabido, para fins de reconhecimento de tempo rural, conquanto não se admita a prova exclusivamente testemunhal (STJ, Súmula 149; TRF-1ª. Região, Súmula 27), não é necessário que a prova documental cubra todo o período de carência, de forma que pode ser estendida para tempo anterior ou posterior ao que especificamente se refira, desde que contemporânea à época dos fatos a provar (TNU, Súmula 34).</w:t>
      </w:r>
    </w:p>
    <w:p w:rsidR="00AE3623" w:rsidRDefault="00AE3623" w:rsidP="00AE3623">
      <w:pPr>
        <w:pStyle w:val="Pargrafo"/>
        <w:spacing w:before="0" w:after="0"/>
        <w:ind w:firstLine="0"/>
        <w:rPr>
          <w:rFonts w:cs="Arial"/>
          <w:color w:val="000000"/>
          <w:szCs w:val="22"/>
        </w:rPr>
      </w:pPr>
      <w:r w:rsidRPr="00AE3623">
        <w:rPr>
          <w:rFonts w:cs="Arial"/>
          <w:b/>
          <w:color w:val="000000"/>
          <w:szCs w:val="22"/>
        </w:rPr>
        <w:t>3.</w:t>
      </w:r>
      <w:r>
        <w:rPr>
          <w:rFonts w:cs="Arial"/>
          <w:color w:val="000000"/>
          <w:szCs w:val="22"/>
        </w:rPr>
        <w:t xml:space="preserve"> </w:t>
      </w:r>
      <w:r w:rsidRPr="009B69E6">
        <w:rPr>
          <w:rFonts w:cs="Arial"/>
          <w:color w:val="000000"/>
          <w:szCs w:val="22"/>
        </w:rPr>
        <w:t xml:space="preserve">É pacífica a jurisprudência do STJ e do TRF1 no sentido de que o rol do art. 106 da Lei 8.213/91 é meramente exemplificativo, (STJ </w:t>
      </w:r>
      <w:proofErr w:type="spellStart"/>
      <w:proofErr w:type="gramStart"/>
      <w:r w:rsidRPr="009B69E6">
        <w:rPr>
          <w:rFonts w:cs="Arial"/>
          <w:color w:val="000000"/>
          <w:szCs w:val="22"/>
        </w:rPr>
        <w:t>AgRG</w:t>
      </w:r>
      <w:proofErr w:type="spellEnd"/>
      <w:proofErr w:type="gramEnd"/>
      <w:r w:rsidRPr="009B69E6">
        <w:rPr>
          <w:rFonts w:cs="Arial"/>
          <w:color w:val="000000"/>
          <w:szCs w:val="22"/>
        </w:rPr>
        <w:t xml:space="preserve"> no </w:t>
      </w:r>
      <w:proofErr w:type="spellStart"/>
      <w:r w:rsidRPr="009B69E6">
        <w:rPr>
          <w:rFonts w:cs="Arial"/>
          <w:color w:val="000000"/>
          <w:szCs w:val="22"/>
        </w:rPr>
        <w:t>REsp</w:t>
      </w:r>
      <w:proofErr w:type="spellEnd"/>
      <w:r w:rsidRPr="009B69E6">
        <w:rPr>
          <w:rFonts w:cs="Arial"/>
          <w:color w:val="000000"/>
          <w:szCs w:val="22"/>
        </w:rPr>
        <w:t xml:space="preserve"> 1073730/CE) sendo admissíveis, portanto, outros documentos hábeis à comprovação do exercício de atividade rural, além dos ali previstos.</w:t>
      </w:r>
    </w:p>
    <w:p w:rsidR="00AE3623" w:rsidRDefault="00AE3623" w:rsidP="00AE3623">
      <w:pPr>
        <w:pStyle w:val="Pargrafo"/>
        <w:spacing w:before="0" w:after="0"/>
        <w:ind w:firstLine="0"/>
        <w:rPr>
          <w:rFonts w:cs="Arial"/>
          <w:color w:val="000000"/>
          <w:szCs w:val="22"/>
        </w:rPr>
      </w:pPr>
      <w:r w:rsidRPr="00AE3623">
        <w:rPr>
          <w:rFonts w:cs="Arial"/>
          <w:b/>
          <w:color w:val="000000"/>
          <w:szCs w:val="22"/>
        </w:rPr>
        <w:t>4.</w:t>
      </w:r>
      <w:r>
        <w:rPr>
          <w:rFonts w:cs="Arial"/>
          <w:color w:val="000000"/>
          <w:szCs w:val="22"/>
        </w:rPr>
        <w:t xml:space="preserve"> </w:t>
      </w:r>
      <w:r w:rsidRPr="000C0D3A">
        <w:rPr>
          <w:rFonts w:cs="Arial"/>
          <w:color w:val="000000"/>
          <w:szCs w:val="22"/>
        </w:rPr>
        <w:t>Do quanto se depreende dos autos, o conjunto probatório favorece a pretensão de reconhecimento do período</w:t>
      </w:r>
      <w:r>
        <w:rPr>
          <w:rFonts w:cs="Arial"/>
          <w:color w:val="000000"/>
          <w:szCs w:val="22"/>
        </w:rPr>
        <w:t xml:space="preserve"> </w:t>
      </w:r>
      <w:r w:rsidRPr="000C0D3A">
        <w:rPr>
          <w:rFonts w:cs="Arial"/>
          <w:color w:val="000000"/>
          <w:szCs w:val="22"/>
        </w:rPr>
        <w:t>em que o autor começou a exercer atividades rurais aos 12 anos de idade, considerando o início de prova documental que se destaca pela sua carteira de trabalho, comprovando-se o labor como trabalhador agropecuário (fls. 21/22)</w:t>
      </w:r>
      <w:r>
        <w:rPr>
          <w:rFonts w:cs="Arial"/>
          <w:color w:val="000000"/>
          <w:szCs w:val="22"/>
        </w:rPr>
        <w:t>,</w:t>
      </w:r>
      <w:r w:rsidRPr="000C0D3A">
        <w:rPr>
          <w:rFonts w:cs="Arial"/>
          <w:color w:val="000000"/>
          <w:szCs w:val="22"/>
        </w:rPr>
        <w:t xml:space="preserve"> cópia do título de eleitor (fls. 23) em que consta a sua ocupação de lavrador</w:t>
      </w:r>
      <w:r>
        <w:rPr>
          <w:rFonts w:cs="Arial"/>
          <w:color w:val="000000"/>
          <w:szCs w:val="22"/>
        </w:rPr>
        <w:t>,</w:t>
      </w:r>
      <w:r w:rsidRPr="000C0D3A">
        <w:rPr>
          <w:rFonts w:cs="Arial"/>
          <w:color w:val="000000"/>
          <w:szCs w:val="22"/>
        </w:rPr>
        <w:t xml:space="preserve"> e certificado de dispensa de incorporação, datado de 15.04.1975, na </w:t>
      </w:r>
      <w:r>
        <w:rPr>
          <w:rFonts w:cs="Arial"/>
          <w:color w:val="000000"/>
          <w:szCs w:val="22"/>
        </w:rPr>
        <w:t xml:space="preserve">qual </w:t>
      </w:r>
      <w:r w:rsidRPr="000C0D3A">
        <w:rPr>
          <w:rFonts w:cs="Arial"/>
          <w:color w:val="000000"/>
          <w:szCs w:val="22"/>
        </w:rPr>
        <w:t xml:space="preserve">ficou especificada a </w:t>
      </w:r>
      <w:proofErr w:type="gramStart"/>
      <w:r w:rsidRPr="000C0D3A">
        <w:rPr>
          <w:rFonts w:cs="Arial"/>
          <w:color w:val="000000"/>
          <w:szCs w:val="22"/>
        </w:rPr>
        <w:t>sua profissão também como lavrador</w:t>
      </w:r>
      <w:proofErr w:type="gramEnd"/>
      <w:r w:rsidRPr="000C0D3A">
        <w:rPr>
          <w:rFonts w:cs="Arial"/>
          <w:color w:val="000000"/>
          <w:szCs w:val="22"/>
        </w:rPr>
        <w:t xml:space="preserve"> (fls. 24), sendo possível assim estender essa qualificação ao autor a</w:t>
      </w:r>
      <w:r>
        <w:rPr>
          <w:rFonts w:cs="Arial"/>
          <w:color w:val="000000"/>
          <w:szCs w:val="22"/>
        </w:rPr>
        <w:t xml:space="preserve"> todos</w:t>
      </w:r>
      <w:r w:rsidRPr="000C0D3A">
        <w:rPr>
          <w:rFonts w:cs="Arial"/>
          <w:color w:val="000000"/>
          <w:szCs w:val="22"/>
        </w:rPr>
        <w:t xml:space="preserve"> os demais períodos por ele comprovados mediante prova oral que sustentam o seu labor na área rural durante toda a vida. Com efeito, os depoimentos das testemunhas – sobre os quais não se lançou qualquer dúvida – foram firmes e unânimes no tocante ao exercício da atividade rural pelo autor no período vindicado, corroborando o início de prova material apresentado.</w:t>
      </w:r>
    </w:p>
    <w:p w:rsidR="00AE3623" w:rsidRDefault="00AE3623" w:rsidP="00AE3623">
      <w:pPr>
        <w:pStyle w:val="Pargrafo"/>
        <w:spacing w:before="0" w:after="0"/>
        <w:ind w:firstLine="0"/>
        <w:rPr>
          <w:rFonts w:cs="Arial"/>
          <w:color w:val="000000"/>
          <w:szCs w:val="22"/>
        </w:rPr>
      </w:pPr>
      <w:r w:rsidRPr="00AE3623">
        <w:rPr>
          <w:rFonts w:cs="Arial"/>
          <w:b/>
          <w:color w:val="000000"/>
          <w:szCs w:val="22"/>
        </w:rPr>
        <w:t>5.</w:t>
      </w:r>
      <w:r>
        <w:rPr>
          <w:rFonts w:cs="Arial"/>
          <w:color w:val="000000"/>
          <w:szCs w:val="22"/>
        </w:rPr>
        <w:t xml:space="preserve"> </w:t>
      </w:r>
      <w:r w:rsidRPr="000C0D3A">
        <w:rPr>
          <w:rFonts w:cs="Arial"/>
          <w:color w:val="000000"/>
          <w:szCs w:val="22"/>
        </w:rPr>
        <w:t xml:space="preserve">Sobre a exigência de contribuição e os efeitos quanto à carência, impende ressalvar que a Lei 8.213/1991 dispõe no art. 55, §2º que o tempo de serviço do segurado trabalhador rural, anterior à data de sua vigência (25/07/1991), será computado independentemente do recolhimento das contribuições a ele correspondentes, exceto para efeito de carência, podendo inferir-se que após a Lei 8.213/1991 para o cômputo do tempo de trabalho rural para fins de aposentadoria por tempo de serviço, é imprescindível o pagamento da contribuição previdenciária. </w:t>
      </w:r>
    </w:p>
    <w:p w:rsidR="00AE3623" w:rsidRDefault="00AE3623" w:rsidP="00AE3623">
      <w:pPr>
        <w:pStyle w:val="Pargrafo"/>
        <w:spacing w:before="0" w:after="0"/>
        <w:ind w:firstLine="0"/>
        <w:rPr>
          <w:rFonts w:cs="Arial"/>
          <w:color w:val="000000"/>
          <w:szCs w:val="22"/>
        </w:rPr>
      </w:pPr>
      <w:r w:rsidRPr="00AE3623">
        <w:rPr>
          <w:rFonts w:cs="Arial"/>
          <w:b/>
          <w:color w:val="000000"/>
          <w:szCs w:val="22"/>
        </w:rPr>
        <w:t>6.</w:t>
      </w:r>
      <w:r>
        <w:rPr>
          <w:rFonts w:cs="Arial"/>
          <w:color w:val="000000"/>
          <w:szCs w:val="22"/>
        </w:rPr>
        <w:t xml:space="preserve"> </w:t>
      </w:r>
      <w:r w:rsidRPr="007350FE">
        <w:rPr>
          <w:rFonts w:cs="Arial"/>
          <w:color w:val="000000"/>
          <w:szCs w:val="22"/>
        </w:rPr>
        <w:t>Assim, somados o período rural reconh</w:t>
      </w:r>
      <w:r w:rsidRPr="00F33F4E">
        <w:rPr>
          <w:rFonts w:cs="Arial"/>
          <w:color w:val="000000"/>
          <w:szCs w:val="22"/>
        </w:rPr>
        <w:t>ecido em juízo com aqueles já averbados pelo INSS, o autor conta com 43 anos, 11 meses e 22 dias de contribuição até a época do requerimento administrativo, fazendo jus à conc</w:t>
      </w:r>
      <w:r w:rsidRPr="007350FE">
        <w:rPr>
          <w:rFonts w:cs="Arial"/>
          <w:color w:val="000000"/>
          <w:szCs w:val="22"/>
        </w:rPr>
        <w:t xml:space="preserve">essão do benefício de aposentadoria por tempo de contribuição </w:t>
      </w:r>
      <w:r w:rsidRPr="007350FE">
        <w:rPr>
          <w:rFonts w:cs="Arial"/>
          <w:color w:val="000000"/>
          <w:szCs w:val="22"/>
        </w:rPr>
        <w:lastRenderedPageBreak/>
        <w:t>integral, condicionando-se, no entanto, ao recolhimento das contribuições ao período laboral como rural para efeito de carência.</w:t>
      </w:r>
    </w:p>
    <w:p w:rsidR="00AE3623" w:rsidRDefault="00AE3623" w:rsidP="00AE3623">
      <w:pPr>
        <w:pStyle w:val="Pargrafo"/>
        <w:spacing w:before="0" w:after="0"/>
        <w:ind w:firstLine="0"/>
        <w:rPr>
          <w:rFonts w:cs="Arial"/>
          <w:color w:val="222222"/>
          <w:szCs w:val="22"/>
        </w:rPr>
      </w:pPr>
      <w:r w:rsidRPr="00AE3623">
        <w:rPr>
          <w:rFonts w:cs="Arial"/>
          <w:b/>
          <w:color w:val="000000"/>
          <w:szCs w:val="22"/>
        </w:rPr>
        <w:t>7.</w:t>
      </w:r>
      <w:r>
        <w:rPr>
          <w:rFonts w:cs="Arial"/>
          <w:color w:val="000000"/>
          <w:szCs w:val="22"/>
        </w:rPr>
        <w:t xml:space="preserve"> A</w:t>
      </w:r>
      <w:r w:rsidRPr="007350FE">
        <w:rPr>
          <w:rFonts w:cs="Arial"/>
          <w:color w:val="222222"/>
          <w:szCs w:val="22"/>
        </w:rPr>
        <w:t xml:space="preserve"> apuraç</w:t>
      </w:r>
      <w:r>
        <w:rPr>
          <w:rFonts w:cs="Arial"/>
          <w:color w:val="222222"/>
          <w:szCs w:val="22"/>
        </w:rPr>
        <w:t>ão</w:t>
      </w:r>
      <w:r w:rsidRPr="007350FE">
        <w:rPr>
          <w:rFonts w:cs="Arial"/>
          <w:color w:val="222222"/>
          <w:szCs w:val="22"/>
        </w:rPr>
        <w:t xml:space="preserve"> da renda mensal inicial do benefício de aposentadoria do autor deverá obedecer aos ditames legais </w:t>
      </w:r>
      <w:r>
        <w:rPr>
          <w:rFonts w:cs="Arial"/>
          <w:color w:val="222222"/>
          <w:szCs w:val="22"/>
        </w:rPr>
        <w:t>e</w:t>
      </w:r>
      <w:r w:rsidRPr="007350FE">
        <w:rPr>
          <w:rFonts w:cs="Arial"/>
          <w:color w:val="222222"/>
          <w:szCs w:val="22"/>
        </w:rPr>
        <w:t xml:space="preserve"> consistir </w:t>
      </w:r>
      <w:proofErr w:type="gramStart"/>
      <w:r w:rsidRPr="007350FE">
        <w:rPr>
          <w:rFonts w:cs="Arial"/>
          <w:color w:val="222222"/>
          <w:szCs w:val="22"/>
        </w:rPr>
        <w:t>"na média aritmética simples dos maiores salários.</w:t>
      </w:r>
      <w:proofErr w:type="gramEnd"/>
    </w:p>
    <w:p w:rsidR="00AE3623" w:rsidRDefault="00AE3623" w:rsidP="00AE3623">
      <w:pPr>
        <w:pStyle w:val="Pargrafo"/>
        <w:spacing w:before="0" w:after="0"/>
        <w:ind w:firstLine="0"/>
        <w:rPr>
          <w:rFonts w:eastAsia="MS Mincho" w:cs="Arial"/>
          <w:szCs w:val="22"/>
        </w:rPr>
      </w:pPr>
      <w:r w:rsidRPr="00AE3623">
        <w:rPr>
          <w:rFonts w:cs="Arial"/>
          <w:b/>
          <w:color w:val="222222"/>
          <w:szCs w:val="22"/>
        </w:rPr>
        <w:t>8.</w:t>
      </w:r>
      <w:r>
        <w:rPr>
          <w:rFonts w:cs="Arial"/>
          <w:color w:val="222222"/>
          <w:szCs w:val="22"/>
        </w:rPr>
        <w:t xml:space="preserve"> </w:t>
      </w:r>
      <w:r w:rsidRPr="007350FE">
        <w:rPr>
          <w:rFonts w:cs="Arial"/>
          <w:szCs w:val="22"/>
        </w:rPr>
        <w:t xml:space="preserve">A matéria concernente aos consectários legais é de ordem pública e, portanto, aferível de ofício pelo julgador, consoante pacífico entendimento do STJ. Assim, alterar ou modificar de ofício o termo inicial ou percentual da correção monetária e dos juros de mora não configuram julgamento </w:t>
      </w:r>
      <w:r w:rsidRPr="007350FE">
        <w:rPr>
          <w:rFonts w:cs="Arial"/>
          <w:i/>
          <w:iCs/>
          <w:szCs w:val="22"/>
        </w:rPr>
        <w:t>extra petita</w:t>
      </w:r>
      <w:r w:rsidRPr="007350FE">
        <w:rPr>
          <w:rFonts w:cs="Arial"/>
          <w:szCs w:val="22"/>
        </w:rPr>
        <w:t xml:space="preserve">, tampouco se incorre no princípio da </w:t>
      </w:r>
      <w:proofErr w:type="spellStart"/>
      <w:r w:rsidRPr="007350FE">
        <w:rPr>
          <w:rFonts w:cs="Arial"/>
          <w:i/>
          <w:iCs/>
          <w:szCs w:val="22"/>
        </w:rPr>
        <w:t>non</w:t>
      </w:r>
      <w:proofErr w:type="spellEnd"/>
      <w:r w:rsidRPr="007350FE">
        <w:rPr>
          <w:rFonts w:cs="Arial"/>
          <w:i/>
          <w:iCs/>
          <w:szCs w:val="22"/>
        </w:rPr>
        <w:t xml:space="preserve"> </w:t>
      </w:r>
      <w:proofErr w:type="spellStart"/>
      <w:r w:rsidRPr="007350FE">
        <w:rPr>
          <w:rFonts w:cs="Arial"/>
          <w:i/>
          <w:iCs/>
          <w:szCs w:val="22"/>
        </w:rPr>
        <w:t>reformatio</w:t>
      </w:r>
      <w:proofErr w:type="spellEnd"/>
      <w:r w:rsidRPr="007350FE">
        <w:rPr>
          <w:rFonts w:cs="Arial"/>
          <w:i/>
          <w:iCs/>
          <w:szCs w:val="22"/>
        </w:rPr>
        <w:t xml:space="preserve"> in </w:t>
      </w:r>
      <w:proofErr w:type="spellStart"/>
      <w:r w:rsidRPr="007350FE">
        <w:rPr>
          <w:rFonts w:cs="Arial"/>
          <w:i/>
          <w:iCs/>
          <w:szCs w:val="22"/>
        </w:rPr>
        <w:t>pejus</w:t>
      </w:r>
      <w:proofErr w:type="spellEnd"/>
      <w:r w:rsidRPr="007350FE">
        <w:rPr>
          <w:rFonts w:cs="Arial"/>
          <w:szCs w:val="22"/>
        </w:rPr>
        <w:t xml:space="preserve"> (STJ, </w:t>
      </w:r>
      <w:proofErr w:type="spellStart"/>
      <w:proofErr w:type="gramStart"/>
      <w:r w:rsidRPr="007350FE">
        <w:rPr>
          <w:rFonts w:cs="Arial"/>
          <w:szCs w:val="22"/>
        </w:rPr>
        <w:t>AgRg</w:t>
      </w:r>
      <w:proofErr w:type="spellEnd"/>
      <w:proofErr w:type="gramEnd"/>
      <w:r w:rsidRPr="007350FE">
        <w:rPr>
          <w:rFonts w:cs="Arial"/>
          <w:szCs w:val="22"/>
        </w:rPr>
        <w:t xml:space="preserve"> no </w:t>
      </w:r>
      <w:proofErr w:type="spellStart"/>
      <w:r w:rsidRPr="007350FE">
        <w:rPr>
          <w:rFonts w:cs="Arial"/>
          <w:szCs w:val="22"/>
        </w:rPr>
        <w:t>REsp</w:t>
      </w:r>
      <w:proofErr w:type="spellEnd"/>
      <w:r w:rsidRPr="007350FE">
        <w:rPr>
          <w:rFonts w:cs="Arial"/>
          <w:szCs w:val="22"/>
        </w:rPr>
        <w:t xml:space="preserve"> 1.440.244/RS, Rel. Ministro </w:t>
      </w:r>
      <w:proofErr w:type="spellStart"/>
      <w:r w:rsidRPr="007350FE">
        <w:rPr>
          <w:rFonts w:cs="Arial"/>
          <w:szCs w:val="22"/>
        </w:rPr>
        <w:t>Herman</w:t>
      </w:r>
      <w:proofErr w:type="spellEnd"/>
      <w:r w:rsidRPr="007350FE">
        <w:rPr>
          <w:rFonts w:cs="Arial"/>
          <w:szCs w:val="22"/>
        </w:rPr>
        <w:t xml:space="preserve"> Benjamin, Segunda Turma, </w:t>
      </w:r>
      <w:proofErr w:type="spellStart"/>
      <w:r w:rsidRPr="007350FE">
        <w:rPr>
          <w:rFonts w:cs="Arial"/>
          <w:szCs w:val="22"/>
        </w:rPr>
        <w:t>DJe</w:t>
      </w:r>
      <w:proofErr w:type="spellEnd"/>
      <w:r w:rsidRPr="007350FE">
        <w:rPr>
          <w:rFonts w:cs="Arial"/>
          <w:szCs w:val="22"/>
        </w:rPr>
        <w:t xml:space="preserve"> de 10/10/2014; STJ, </w:t>
      </w:r>
      <w:proofErr w:type="spellStart"/>
      <w:r w:rsidRPr="007350FE">
        <w:rPr>
          <w:rFonts w:cs="Arial"/>
          <w:szCs w:val="22"/>
        </w:rPr>
        <w:t>AgRg</w:t>
      </w:r>
      <w:proofErr w:type="spellEnd"/>
      <w:r w:rsidRPr="007350FE">
        <w:rPr>
          <w:rFonts w:cs="Arial"/>
          <w:szCs w:val="22"/>
        </w:rPr>
        <w:t xml:space="preserve"> no </w:t>
      </w:r>
      <w:proofErr w:type="spellStart"/>
      <w:r w:rsidRPr="007350FE">
        <w:rPr>
          <w:rFonts w:cs="Arial"/>
          <w:szCs w:val="22"/>
        </w:rPr>
        <w:t>REsp</w:t>
      </w:r>
      <w:proofErr w:type="spellEnd"/>
      <w:r w:rsidRPr="007350FE">
        <w:rPr>
          <w:rFonts w:cs="Arial"/>
          <w:szCs w:val="22"/>
        </w:rPr>
        <w:t xml:space="preserve"> 1.451.962/RS, Rel. Ministro Mauro Campbell Marques, Segunda Turma, </w:t>
      </w:r>
      <w:proofErr w:type="spellStart"/>
      <w:r w:rsidRPr="007350FE">
        <w:rPr>
          <w:rFonts w:cs="Arial"/>
          <w:szCs w:val="22"/>
        </w:rPr>
        <w:t>DJe</w:t>
      </w:r>
      <w:proofErr w:type="spellEnd"/>
      <w:r w:rsidRPr="007350FE">
        <w:rPr>
          <w:rFonts w:cs="Arial"/>
          <w:szCs w:val="22"/>
        </w:rPr>
        <w:t xml:space="preserve"> de 23/09/2014; STJ, </w:t>
      </w:r>
      <w:proofErr w:type="spellStart"/>
      <w:r w:rsidRPr="007350FE">
        <w:rPr>
          <w:rFonts w:cs="Arial"/>
          <w:szCs w:val="22"/>
        </w:rPr>
        <w:t>AgRg</w:t>
      </w:r>
      <w:proofErr w:type="spellEnd"/>
      <w:r w:rsidRPr="007350FE">
        <w:rPr>
          <w:rFonts w:cs="Arial"/>
          <w:szCs w:val="22"/>
        </w:rPr>
        <w:t xml:space="preserve"> no </w:t>
      </w:r>
      <w:proofErr w:type="spellStart"/>
      <w:r w:rsidRPr="007350FE">
        <w:rPr>
          <w:rFonts w:cs="Arial"/>
          <w:szCs w:val="22"/>
        </w:rPr>
        <w:t>AgRg</w:t>
      </w:r>
      <w:proofErr w:type="spellEnd"/>
      <w:r w:rsidRPr="007350FE">
        <w:rPr>
          <w:rFonts w:cs="Arial"/>
          <w:szCs w:val="22"/>
        </w:rPr>
        <w:t xml:space="preserve"> no </w:t>
      </w:r>
      <w:proofErr w:type="spellStart"/>
      <w:r w:rsidRPr="007350FE">
        <w:rPr>
          <w:rFonts w:cs="Arial"/>
          <w:szCs w:val="22"/>
        </w:rPr>
        <w:t>REsp</w:t>
      </w:r>
      <w:proofErr w:type="spellEnd"/>
      <w:r w:rsidRPr="007350FE">
        <w:rPr>
          <w:rFonts w:cs="Arial"/>
          <w:szCs w:val="22"/>
        </w:rPr>
        <w:t xml:space="preserve"> 1.424.522/PR, Rel. Ministro Humberto Martins, Segunda Turma, </w:t>
      </w:r>
      <w:proofErr w:type="spellStart"/>
      <w:r w:rsidRPr="007350FE">
        <w:rPr>
          <w:rFonts w:cs="Arial"/>
          <w:szCs w:val="22"/>
        </w:rPr>
        <w:t>DJe</w:t>
      </w:r>
      <w:proofErr w:type="spellEnd"/>
      <w:r w:rsidRPr="007350FE">
        <w:rPr>
          <w:rFonts w:cs="Arial"/>
          <w:szCs w:val="22"/>
        </w:rPr>
        <w:t xml:space="preserve"> de 28/08/2014). E "a 1ª Seção do STJ, no julgamento do </w:t>
      </w:r>
      <w:proofErr w:type="spellStart"/>
      <w:proofErr w:type="gramStart"/>
      <w:r w:rsidRPr="007350FE">
        <w:rPr>
          <w:rFonts w:cs="Arial"/>
          <w:szCs w:val="22"/>
        </w:rPr>
        <w:t>REsp</w:t>
      </w:r>
      <w:proofErr w:type="spellEnd"/>
      <w:proofErr w:type="gramEnd"/>
      <w:r w:rsidRPr="007350FE">
        <w:rPr>
          <w:rFonts w:cs="Arial"/>
          <w:szCs w:val="22"/>
        </w:rPr>
        <w:t xml:space="preserve"> 1.112.746/DF, afirmou que os juros de mora e a correção monetária são obrigações de trato sucessivo, que se renovam mês a mês, devendo, portanto, ser aplicada no mês de regência a legislação vigente. Por essa razão, fixou-se o entendimento de que a lei nova superveniente que altera o regime dos juros moratórios deve ser aplicada imediatamente a todos os processos, abarcando inclusive aqueles em que já houve o trânsito em julgado e estejam em fase de execução. Não há, pois, nesses casos, que falar em violação da coisa julgada" (</w:t>
      </w:r>
      <w:proofErr w:type="spellStart"/>
      <w:r w:rsidRPr="007350FE">
        <w:rPr>
          <w:rFonts w:cs="Arial"/>
          <w:szCs w:val="22"/>
        </w:rPr>
        <w:t>EDcl</w:t>
      </w:r>
      <w:proofErr w:type="spellEnd"/>
      <w:r w:rsidRPr="007350FE">
        <w:rPr>
          <w:rFonts w:cs="Arial"/>
          <w:szCs w:val="22"/>
        </w:rPr>
        <w:t xml:space="preserve"> no </w:t>
      </w:r>
      <w:proofErr w:type="spellStart"/>
      <w:r w:rsidRPr="007350FE">
        <w:rPr>
          <w:rFonts w:cs="Arial"/>
          <w:szCs w:val="22"/>
        </w:rPr>
        <w:t>AgRg</w:t>
      </w:r>
      <w:proofErr w:type="spellEnd"/>
      <w:r w:rsidRPr="007350FE">
        <w:rPr>
          <w:rFonts w:cs="Arial"/>
          <w:szCs w:val="22"/>
        </w:rPr>
        <w:t xml:space="preserve"> no </w:t>
      </w:r>
      <w:proofErr w:type="spellStart"/>
      <w:r w:rsidRPr="007350FE">
        <w:rPr>
          <w:rFonts w:cs="Arial"/>
          <w:szCs w:val="22"/>
        </w:rPr>
        <w:t>REsp</w:t>
      </w:r>
      <w:proofErr w:type="spellEnd"/>
      <w:r w:rsidRPr="007350FE">
        <w:rPr>
          <w:rFonts w:cs="Arial"/>
          <w:szCs w:val="22"/>
        </w:rPr>
        <w:t xml:space="preserve"> 1.210.516/RS, Rel. Ministro NAPOLEÃO NUNES MAIA FILHO, PRIMEIRA TURMA, julgado em 15/09/2015, </w:t>
      </w:r>
      <w:proofErr w:type="spellStart"/>
      <w:r w:rsidRPr="007350FE">
        <w:rPr>
          <w:rFonts w:cs="Arial"/>
          <w:szCs w:val="22"/>
        </w:rPr>
        <w:t>DJe</w:t>
      </w:r>
      <w:proofErr w:type="spellEnd"/>
      <w:r w:rsidRPr="007350FE">
        <w:rPr>
          <w:rFonts w:cs="Arial"/>
          <w:szCs w:val="22"/>
        </w:rPr>
        <w:t xml:space="preserve"> 25/09/2015). Por seu turno, quanto aos aludidos consectários legais (correção monetária e juros de mora), cabe </w:t>
      </w:r>
      <w:proofErr w:type="gramStart"/>
      <w:r w:rsidRPr="007350FE">
        <w:rPr>
          <w:rFonts w:cs="Arial"/>
          <w:szCs w:val="22"/>
        </w:rPr>
        <w:t>a</w:t>
      </w:r>
      <w:proofErr w:type="gramEnd"/>
      <w:r w:rsidRPr="007350FE">
        <w:rPr>
          <w:rFonts w:cs="Arial"/>
          <w:szCs w:val="22"/>
        </w:rPr>
        <w:t xml:space="preserve"> aplicação do Manual de Cálculos da Justiça Federal, com aplicação dos juros de mora desde a citação, em relação às parcelas anteriores à mesma, ou desde o vencimento de cada parcela, se posteriores (vide tema 810 da repercussão geral, STF, RE 870.947/SE; e tema 905, STJ, RESP 1.495.146-MG).</w:t>
      </w:r>
      <w:r w:rsidRPr="007350FE">
        <w:rPr>
          <w:rFonts w:eastAsia="MS Mincho" w:cs="Arial"/>
          <w:szCs w:val="22"/>
        </w:rPr>
        <w:t xml:space="preserve"> </w:t>
      </w:r>
    </w:p>
    <w:p w:rsidR="00AE3623" w:rsidRPr="00041A88" w:rsidRDefault="00AE3623" w:rsidP="00AE3623">
      <w:pPr>
        <w:pStyle w:val="Pargrafo"/>
        <w:spacing w:before="0" w:after="0"/>
        <w:ind w:firstLine="0"/>
        <w:rPr>
          <w:rFonts w:cs="Arial"/>
          <w:b/>
          <w:szCs w:val="22"/>
        </w:rPr>
      </w:pPr>
      <w:r w:rsidRPr="00AE3623">
        <w:rPr>
          <w:rFonts w:eastAsia="MS Mincho" w:cs="Arial"/>
          <w:b/>
          <w:szCs w:val="22"/>
        </w:rPr>
        <w:t>9.</w:t>
      </w:r>
      <w:r>
        <w:rPr>
          <w:rFonts w:eastAsia="MS Mincho" w:cs="Arial"/>
          <w:szCs w:val="22"/>
        </w:rPr>
        <w:t xml:space="preserve"> </w:t>
      </w:r>
      <w:r w:rsidRPr="00041A88">
        <w:rPr>
          <w:rFonts w:cs="Arial"/>
          <w:szCs w:val="22"/>
        </w:rPr>
        <w:t>Apelação do INSS</w:t>
      </w:r>
      <w:r>
        <w:rPr>
          <w:rFonts w:cs="Arial"/>
          <w:szCs w:val="22"/>
        </w:rPr>
        <w:t xml:space="preserve"> a que se dá parcial provimento para condicionar o período reconhecido na sentença para efeito de carência ao recolhimento de contribuições pelo autor, e apelação do autor provida para fixar a RMI nos termos explanados no item </w:t>
      </w:r>
      <w:proofErr w:type="gramStart"/>
      <w:r>
        <w:rPr>
          <w:rFonts w:cs="Arial"/>
          <w:szCs w:val="22"/>
        </w:rPr>
        <w:t>7</w:t>
      </w:r>
      <w:proofErr w:type="gramEnd"/>
      <w:r w:rsidRPr="00041A88">
        <w:rPr>
          <w:rFonts w:cs="Arial"/>
          <w:szCs w:val="22"/>
        </w:rPr>
        <w:t xml:space="preserve">. Juros e correção monetária alterados de ofício, nos termos </w:t>
      </w:r>
      <w:proofErr w:type="gramStart"/>
      <w:r w:rsidRPr="00041A88">
        <w:rPr>
          <w:rFonts w:cs="Arial"/>
          <w:szCs w:val="22"/>
        </w:rPr>
        <w:t>explicitados</w:t>
      </w:r>
      <w:proofErr w:type="gramEnd"/>
      <w:r w:rsidRPr="00041A88">
        <w:rPr>
          <w:rFonts w:cs="Arial"/>
          <w:szCs w:val="22"/>
        </w:rPr>
        <w:t xml:space="preserve"> </w:t>
      </w:r>
    </w:p>
    <w:p w:rsidR="00AE3623" w:rsidRDefault="00AE3623" w:rsidP="00AE3623">
      <w:pPr>
        <w:pStyle w:val="centralizar"/>
        <w:spacing w:before="120" w:after="120"/>
        <w:rPr>
          <w:rFonts w:cs="Arial"/>
          <w:szCs w:val="22"/>
        </w:rPr>
      </w:pPr>
    </w:p>
    <w:p w:rsidR="00AE3623" w:rsidRDefault="00AE3623" w:rsidP="00AE3623">
      <w:pPr>
        <w:pStyle w:val="Pargrafo"/>
      </w:pPr>
    </w:p>
    <w:p w:rsidR="00012222" w:rsidRPr="00AE3623" w:rsidRDefault="00012222" w:rsidP="00AE3623">
      <w:pPr>
        <w:pStyle w:val="Pargrafo"/>
      </w:pPr>
    </w:p>
    <w:p w:rsidR="00AE3623" w:rsidRDefault="00AE3623" w:rsidP="00AE3623">
      <w:pPr>
        <w:pStyle w:val="centralizar"/>
        <w:spacing w:before="120" w:after="120"/>
        <w:rPr>
          <w:rFonts w:cs="Arial"/>
          <w:szCs w:val="22"/>
        </w:rPr>
      </w:pPr>
      <w:r>
        <w:rPr>
          <w:rFonts w:cs="Arial"/>
          <w:szCs w:val="22"/>
        </w:rPr>
        <w:t>A C Ó R D Ã O</w:t>
      </w:r>
    </w:p>
    <w:p w:rsidR="00AE3623" w:rsidRDefault="00AE3623" w:rsidP="00AE3623">
      <w:pPr>
        <w:pStyle w:val="Pargrafo"/>
        <w:ind w:firstLine="1440"/>
        <w:rPr>
          <w:rFonts w:cs="Arial"/>
          <w:szCs w:val="22"/>
        </w:rPr>
      </w:pPr>
      <w:r>
        <w:rPr>
          <w:rFonts w:cs="Arial"/>
          <w:szCs w:val="22"/>
        </w:rPr>
        <w:t xml:space="preserve">Decide a Câmara Regional Previdenciária da Bahia do Tribunal Regional Federal da Primeira Região, por unanimidade, dar parcial provimento à apelação do INSS, dar provimento à apelação do autor e alterar de ofício os juros de mora e a correção monetária, nos termos do voto do relator. </w:t>
      </w:r>
    </w:p>
    <w:p w:rsidR="00AE3623" w:rsidRDefault="00AE3623" w:rsidP="00AE3623">
      <w:pPr>
        <w:pStyle w:val="Pargrafo"/>
        <w:spacing w:before="0" w:after="0"/>
        <w:ind w:firstLine="1440"/>
        <w:rPr>
          <w:rFonts w:cs="Arial"/>
          <w:szCs w:val="22"/>
        </w:rPr>
      </w:pPr>
    </w:p>
    <w:p w:rsidR="00092337" w:rsidRDefault="00AE3623" w:rsidP="00092337">
      <w:pPr>
        <w:pStyle w:val="Pargrafo"/>
        <w:rPr>
          <w:rFonts w:cs="Arial"/>
          <w:szCs w:val="22"/>
        </w:rPr>
      </w:pPr>
      <w:r>
        <w:rPr>
          <w:rFonts w:cs="Arial"/>
          <w:szCs w:val="22"/>
        </w:rPr>
        <w:t xml:space="preserve">Salvador-Ba, </w:t>
      </w:r>
      <w:r w:rsidR="00092337">
        <w:rPr>
          <w:rFonts w:cs="Arial"/>
          <w:szCs w:val="22"/>
        </w:rPr>
        <w:t>04 de julho de 2018.</w:t>
      </w:r>
    </w:p>
    <w:p w:rsidR="00AE3623" w:rsidRDefault="00AE3623" w:rsidP="00AE3623">
      <w:pPr>
        <w:pStyle w:val="Pargrafo"/>
        <w:ind w:firstLine="1440"/>
        <w:rPr>
          <w:rFonts w:cs="Arial"/>
          <w:szCs w:val="22"/>
        </w:rPr>
      </w:pPr>
    </w:p>
    <w:p w:rsidR="00AE3623" w:rsidRDefault="00AE3623" w:rsidP="00AE3623">
      <w:pPr>
        <w:spacing w:before="120" w:after="120"/>
        <w:jc w:val="center"/>
        <w:rPr>
          <w:rFonts w:ascii="Arial" w:hAnsi="Arial" w:cs="Arial"/>
          <w:sz w:val="22"/>
          <w:szCs w:val="22"/>
        </w:rPr>
      </w:pPr>
    </w:p>
    <w:p w:rsidR="00012222" w:rsidRDefault="00012222" w:rsidP="00AE3623">
      <w:pPr>
        <w:spacing w:before="120" w:after="120"/>
        <w:jc w:val="center"/>
        <w:rPr>
          <w:rFonts w:ascii="Arial" w:hAnsi="Arial" w:cs="Arial"/>
          <w:sz w:val="22"/>
          <w:szCs w:val="22"/>
        </w:rPr>
      </w:pPr>
    </w:p>
    <w:p w:rsidR="00AE3623" w:rsidRDefault="00AE3623" w:rsidP="00AE3623">
      <w:pPr>
        <w:jc w:val="center"/>
        <w:rPr>
          <w:rFonts w:ascii="Arial" w:hAnsi="Arial" w:cs="Arial"/>
          <w:b/>
          <w:sz w:val="22"/>
          <w:szCs w:val="22"/>
        </w:rPr>
      </w:pPr>
      <w:r w:rsidRPr="00883064">
        <w:rPr>
          <w:rFonts w:ascii="Arial" w:hAnsi="Arial" w:cs="Arial"/>
          <w:sz w:val="22"/>
          <w:szCs w:val="22"/>
        </w:rPr>
        <w:t>Juiz Federal</w:t>
      </w:r>
      <w:r>
        <w:rPr>
          <w:rFonts w:ascii="Arial" w:hAnsi="Arial" w:cs="Arial"/>
          <w:b/>
          <w:sz w:val="22"/>
          <w:szCs w:val="22"/>
        </w:rPr>
        <w:t xml:space="preserve"> SAULO CASALI BAHIA</w:t>
      </w:r>
    </w:p>
    <w:p w:rsidR="00AE3623" w:rsidRDefault="00AE3623" w:rsidP="00AE3623">
      <w:pPr>
        <w:ind w:left="3545" w:firstLine="70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Relator Convocado</w:t>
      </w:r>
    </w:p>
    <w:p w:rsidR="00AE3623" w:rsidRDefault="00AE3623" w:rsidP="00AE3623">
      <w:pPr>
        <w:pStyle w:val="centralizar"/>
        <w:spacing w:before="0" w:after="0" w:line="360" w:lineRule="auto"/>
        <w:rPr>
          <w:rFonts w:cs="Arial"/>
          <w:szCs w:val="22"/>
        </w:rPr>
      </w:pPr>
    </w:p>
    <w:p w:rsidR="00AE3623" w:rsidRDefault="00AE3623" w:rsidP="00AE3623">
      <w:pPr>
        <w:pStyle w:val="Pargrafo"/>
        <w:rPr>
          <w:rFonts w:cs="Arial"/>
          <w:b/>
          <w:bCs/>
          <w:iCs/>
          <w:color w:val="000000"/>
          <w:szCs w:val="22"/>
        </w:rPr>
      </w:pPr>
    </w:p>
    <w:p w:rsidR="00AE3623" w:rsidRPr="002C0F66" w:rsidRDefault="00AE3623" w:rsidP="002C0F66">
      <w:pPr>
        <w:pStyle w:val="Identificao"/>
      </w:pPr>
    </w:p>
    <w:sectPr w:rsidR="00AE3623" w:rsidRPr="002C0F66" w:rsidSect="004554A7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850" w:right="850" w:bottom="850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5C75" w:rsidRDefault="00675C75">
      <w:r>
        <w:separator/>
      </w:r>
    </w:p>
  </w:endnote>
  <w:endnote w:type="continuationSeparator" w:id="0">
    <w:p w:rsidR="00675C75" w:rsidRDefault="00675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Interleaved 2of5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 w:rsidR="002B2A01">
      <w:rPr>
        <w:rFonts w:ascii="Arial" w:hAnsi="Arial"/>
        <w:sz w:val="10"/>
      </w:rPr>
      <w:fldChar w:fldCharType="begin"/>
    </w:r>
    <w:r>
      <w:rPr>
        <w:rFonts w:ascii="Arial" w:hAnsi="Arial"/>
        <w:sz w:val="10"/>
      </w:rPr>
      <w:instrText xml:space="preserve"> FILENAME \p </w:instrText>
    </w:r>
    <w:r w:rsidR="002B2A01">
      <w:rPr>
        <w:rFonts w:ascii="Arial" w:hAnsi="Arial"/>
        <w:sz w:val="10"/>
      </w:rPr>
      <w:fldChar w:fldCharType="separate"/>
    </w:r>
    <w:r w:rsidR="002C0F66">
      <w:rPr>
        <w:rFonts w:ascii="Arial" w:hAnsi="Arial"/>
        <w:noProof/>
        <w:sz w:val="10"/>
      </w:rPr>
      <w:t>Documento1</w:t>
    </w:r>
    <w:r w:rsidR="002B2A01">
      <w:rPr>
        <w:rFonts w:ascii="Arial" w:hAnsi="Arial"/>
        <w:sz w:val="1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  <w:rPr>
        <w:rFonts w:ascii="Arial" w:hAnsi="Arial"/>
        <w:sz w:val="13"/>
      </w:rPr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 w:rsidR="002B2A01"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FILENAME \p </w:instrText>
    </w:r>
    <w:r w:rsidR="002B2A01">
      <w:rPr>
        <w:rFonts w:ascii="Arial" w:hAnsi="Arial"/>
        <w:sz w:val="13"/>
      </w:rPr>
      <w:fldChar w:fldCharType="separate"/>
    </w:r>
    <w:r w:rsidR="002C0F66">
      <w:rPr>
        <w:rFonts w:ascii="Arial" w:hAnsi="Arial"/>
        <w:noProof/>
        <w:sz w:val="13"/>
      </w:rPr>
      <w:t>Documento1</w:t>
    </w:r>
    <w:r w:rsidR="002B2A01">
      <w:rPr>
        <w:rFonts w:ascii="Arial" w:hAnsi="Arial"/>
        <w:sz w:val="13"/>
      </w:rPr>
      <w:fldChar w:fldCharType="end"/>
    </w:r>
  </w:p>
  <w:p w:rsidR="00413610" w:rsidRDefault="00413610">
    <w:pPr>
      <w:tabs>
        <w:tab w:val="right" w:pos="9360"/>
      </w:tabs>
      <w:rPr>
        <w:sz w:val="13"/>
      </w:rPr>
    </w:pPr>
    <w:r>
      <w:rPr>
        <w:rFonts w:ascii="Arial" w:hAnsi="Arial"/>
        <w:sz w:val="13"/>
      </w:rPr>
      <w:t xml:space="preserve">Criado por </w:t>
    </w:r>
    <w:r w:rsidR="002B2A01"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AUTHOR </w:instrText>
    </w:r>
    <w:r w:rsidR="002B2A01">
      <w:rPr>
        <w:rFonts w:ascii="Arial" w:hAnsi="Arial"/>
        <w:sz w:val="13"/>
      </w:rPr>
      <w:fldChar w:fldCharType="separate"/>
    </w:r>
    <w:r w:rsidR="002C0F66">
      <w:rPr>
        <w:rFonts w:ascii="Arial" w:hAnsi="Arial"/>
        <w:noProof/>
        <w:sz w:val="13"/>
      </w:rPr>
      <w:t>TR300321</w:t>
    </w:r>
    <w:r w:rsidR="002B2A01">
      <w:rPr>
        <w:rFonts w:ascii="Arial" w:hAnsi="Arial"/>
        <w:sz w:val="13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5C75" w:rsidRDefault="00675C75">
      <w:r>
        <w:separator/>
      </w:r>
    </w:p>
  </w:footnote>
  <w:footnote w:type="continuationSeparator" w:id="0">
    <w:p w:rsidR="00675C75" w:rsidRDefault="00675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spacing w:before="120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>
    <w:pPr>
      <w:tabs>
        <w:tab w:val="right" w:pos="9540"/>
      </w:tabs>
      <w:spacing w:after="120"/>
      <w:rPr>
        <w:rFonts w:ascii="Arial" w:hAnsi="Arial" w:cs="Arial"/>
        <w:bCs/>
        <w:sz w:val="16"/>
      </w:rPr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  <w:r>
      <w:rPr>
        <w:rFonts w:ascii="Arial" w:hAnsi="Arial" w:cs="Arial"/>
        <w:bCs/>
        <w:sz w:val="16"/>
      </w:rPr>
      <w:t>fls.</w:t>
    </w:r>
    <w:r w:rsidR="002B2A01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PAGE </w:instrText>
    </w:r>
    <w:r w:rsidR="002B2A01">
      <w:rPr>
        <w:rFonts w:ascii="Arial" w:hAnsi="Arial" w:cs="Arial"/>
        <w:bCs/>
        <w:sz w:val="16"/>
      </w:rPr>
      <w:fldChar w:fldCharType="separate"/>
    </w:r>
    <w:r w:rsidR="00092337">
      <w:rPr>
        <w:rFonts w:ascii="Arial" w:hAnsi="Arial" w:cs="Arial"/>
        <w:bCs/>
        <w:noProof/>
        <w:sz w:val="16"/>
      </w:rPr>
      <w:t>2</w:t>
    </w:r>
    <w:r w:rsidR="002B2A01">
      <w:rPr>
        <w:rFonts w:ascii="Arial" w:hAnsi="Arial" w:cs="Arial"/>
        <w:bCs/>
        <w:sz w:val="16"/>
      </w:rPr>
      <w:fldChar w:fldCharType="end"/>
    </w:r>
    <w:r>
      <w:rPr>
        <w:rFonts w:ascii="Arial" w:hAnsi="Arial" w:cs="Arial"/>
        <w:bCs/>
        <w:sz w:val="16"/>
      </w:rPr>
      <w:t>/</w:t>
    </w:r>
    <w:r w:rsidR="002B2A01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NUMPAGES </w:instrText>
    </w:r>
    <w:r w:rsidR="002B2A01">
      <w:rPr>
        <w:rFonts w:ascii="Arial" w:hAnsi="Arial" w:cs="Arial"/>
        <w:bCs/>
        <w:sz w:val="16"/>
      </w:rPr>
      <w:fldChar w:fldCharType="separate"/>
    </w:r>
    <w:r w:rsidR="00092337">
      <w:rPr>
        <w:rFonts w:ascii="Arial" w:hAnsi="Arial" w:cs="Arial"/>
        <w:bCs/>
        <w:noProof/>
        <w:sz w:val="16"/>
      </w:rPr>
      <w:t>2</w:t>
    </w:r>
    <w:r w:rsidR="002B2A01">
      <w:rPr>
        <w:rFonts w:ascii="Arial" w:hAnsi="Arial" w:cs="Arial"/>
        <w:bCs/>
        <w:sz w:val="16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0F66" w:rsidRPr="002C0F66" w:rsidRDefault="002C0F66" w:rsidP="002C0F66">
    <w:pPr>
      <w:jc w:val="right"/>
      <w:rPr>
        <w:rFonts w:ascii="Interleaved 2of5" w:hAnsi="Interleaved 2of5"/>
        <w:sz w:val="48"/>
      </w:rPr>
    </w:pPr>
    <w:r w:rsidRPr="002C0F66">
      <w:rPr>
        <w:rFonts w:ascii="Interleaved 2of5" w:hAnsi="Interleaved 2of5"/>
        <w:sz w:val="48"/>
      </w:rPr>
      <w:t>(ÆÜ5F1\1éñ)</w:t>
    </w:r>
  </w:p>
  <w:p w:rsidR="002C0F66" w:rsidRDefault="002C0F66" w:rsidP="002C0F66">
    <w:pPr>
      <w:spacing w:before="120"/>
      <w:rPr>
        <w:rFonts w:ascii="Arial" w:hAnsi="Arial"/>
        <w:sz w:val="16"/>
      </w:rPr>
    </w:pPr>
  </w:p>
  <w:p w:rsidR="004554A7" w:rsidRDefault="002C0F66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noProof/>
        <w:sz w:val="16"/>
      </w:rPr>
      <w:drawing>
        <wp:inline distT="0" distB="0" distL="0" distR="0">
          <wp:extent cx="762000" cy="800100"/>
          <wp:effectExtent l="19050" t="0" r="0" b="0"/>
          <wp:docPr id="1" name="Imagem 1" descr="brasao_do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_doc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13610" w:rsidRDefault="00413610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 w:rsidP="004554A7">
    <w:pPr>
      <w:jc w:val="center"/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8E1CD2"/>
    <w:multiLevelType w:val="hybridMultilevel"/>
    <w:tmpl w:val="869A23B2"/>
    <w:lvl w:ilvl="0" w:tplc="04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EC66DAC"/>
    <w:multiLevelType w:val="hybridMultilevel"/>
    <w:tmpl w:val="CAEEAB38"/>
    <w:lvl w:ilvl="0" w:tplc="1CB0F4D0">
      <w:start w:val="1"/>
      <w:numFmt w:val="bullet"/>
      <w:lvlText w:val="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4A3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5EB4F8E"/>
    <w:multiLevelType w:val="hybridMultilevel"/>
    <w:tmpl w:val="C3E6D79C"/>
    <w:lvl w:ilvl="0" w:tplc="47D29EBA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3">
    <w:nsid w:val="2A262624"/>
    <w:multiLevelType w:val="multilevel"/>
    <w:tmpl w:val="78EEB8B6"/>
    <w:lvl w:ilvl="0">
      <w:start w:val="1"/>
      <w:numFmt w:val="bullet"/>
      <w:lvlText w:val="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211"/>
        </w:tabs>
        <w:ind w:left="1134" w:hanging="283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061"/>
        </w:tabs>
        <w:ind w:left="1928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95"/>
        </w:tabs>
        <w:ind w:left="3119" w:hanging="284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139"/>
        </w:tabs>
        <w:ind w:left="4139" w:hanging="737"/>
      </w:pPr>
      <w:rPr>
        <w:rFonts w:ascii="Symbol" w:hAnsi="Symbol" w:hint="default"/>
        <w:sz w:val="14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attachedTemplate r:id="rId1"/>
  <w:stylePaneFormatFilter w:val="1801"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5C75"/>
    <w:rsid w:val="00012222"/>
    <w:rsid w:val="000353C3"/>
    <w:rsid w:val="00092337"/>
    <w:rsid w:val="0015179D"/>
    <w:rsid w:val="00191A8C"/>
    <w:rsid w:val="002331F7"/>
    <w:rsid w:val="002B2A01"/>
    <w:rsid w:val="002C0F66"/>
    <w:rsid w:val="00413610"/>
    <w:rsid w:val="004269A8"/>
    <w:rsid w:val="004554A7"/>
    <w:rsid w:val="00462716"/>
    <w:rsid w:val="00471CDF"/>
    <w:rsid w:val="004C17AC"/>
    <w:rsid w:val="005E20DB"/>
    <w:rsid w:val="00675C75"/>
    <w:rsid w:val="006779DE"/>
    <w:rsid w:val="006A4ECE"/>
    <w:rsid w:val="007A7066"/>
    <w:rsid w:val="007C3424"/>
    <w:rsid w:val="008713AE"/>
    <w:rsid w:val="00872397"/>
    <w:rsid w:val="008A3D69"/>
    <w:rsid w:val="008C4395"/>
    <w:rsid w:val="0099169E"/>
    <w:rsid w:val="00AE3623"/>
    <w:rsid w:val="00C5492A"/>
    <w:rsid w:val="00D221D6"/>
    <w:rsid w:val="00DD0AC9"/>
    <w:rsid w:val="00E850E4"/>
    <w:rsid w:val="00EC07C2"/>
    <w:rsid w:val="00EE64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E3623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Identificao">
    <w:name w:val="Identificação"/>
    <w:basedOn w:val="ementa"/>
    <w:rsid w:val="000353C3"/>
    <w:pPr>
      <w:spacing w:before="0" w:after="0"/>
    </w:pPr>
  </w:style>
  <w:style w:type="paragraph" w:customStyle="1" w:styleId="ementa">
    <w:name w:val="ementa"/>
    <w:basedOn w:val="Pargrafo"/>
    <w:rsid w:val="002331F7"/>
    <w:pPr>
      <w:ind w:firstLine="0"/>
    </w:pPr>
  </w:style>
  <w:style w:type="paragraph" w:customStyle="1" w:styleId="Pargrafo">
    <w:name w:val="Parágrafo"/>
    <w:basedOn w:val="Normal"/>
    <w:link w:val="PargrafoChar"/>
    <w:qFormat/>
    <w:rsid w:val="000353C3"/>
    <w:pPr>
      <w:spacing w:before="120" w:after="120"/>
      <w:ind w:firstLine="1418"/>
      <w:jc w:val="both"/>
    </w:pPr>
    <w:rPr>
      <w:rFonts w:ascii="Arial" w:hAnsi="Arial"/>
      <w:sz w:val="22"/>
    </w:rPr>
  </w:style>
  <w:style w:type="paragraph" w:customStyle="1" w:styleId="centralizar">
    <w:name w:val="centralizar"/>
    <w:basedOn w:val="Pargrafo"/>
    <w:next w:val="Pargrafo"/>
    <w:link w:val="centralizarChar"/>
    <w:rsid w:val="000353C3"/>
    <w:pPr>
      <w:spacing w:before="360" w:after="360"/>
      <w:ind w:firstLine="0"/>
      <w:jc w:val="center"/>
    </w:pPr>
    <w:rPr>
      <w:b/>
    </w:rPr>
  </w:style>
  <w:style w:type="paragraph" w:customStyle="1" w:styleId="Transcrio">
    <w:name w:val="Transcrição"/>
    <w:basedOn w:val="Pargrafo"/>
    <w:rsid w:val="000353C3"/>
    <w:pPr>
      <w:spacing w:before="60" w:after="60"/>
      <w:ind w:left="2268" w:firstLine="0"/>
    </w:pPr>
    <w:rPr>
      <w:i/>
    </w:rPr>
  </w:style>
  <w:style w:type="paragraph" w:styleId="Cabealho">
    <w:name w:val="header"/>
    <w:basedOn w:val="Normal"/>
    <w:rsid w:val="002331F7"/>
    <w:pPr>
      <w:tabs>
        <w:tab w:val="center" w:pos="4252"/>
        <w:tab w:val="right" w:pos="8504"/>
      </w:tabs>
    </w:pPr>
  </w:style>
  <w:style w:type="paragraph" w:customStyle="1" w:styleId="transcrio2">
    <w:name w:val="transcrição 2"/>
    <w:basedOn w:val="Transcrio"/>
    <w:rsid w:val="000353C3"/>
    <w:pPr>
      <w:ind w:left="2835"/>
    </w:pPr>
  </w:style>
  <w:style w:type="paragraph" w:customStyle="1" w:styleId="transcrio3">
    <w:name w:val="transcrição 3"/>
    <w:basedOn w:val="Identificao"/>
    <w:rsid w:val="000353C3"/>
    <w:pPr>
      <w:ind w:left="3686"/>
    </w:pPr>
    <w:rPr>
      <w:i/>
      <w:iCs/>
    </w:rPr>
  </w:style>
  <w:style w:type="paragraph" w:customStyle="1" w:styleId="transcrio4">
    <w:name w:val="transcrição 4"/>
    <w:basedOn w:val="transcrio3"/>
    <w:rsid w:val="000353C3"/>
    <w:pPr>
      <w:ind w:left="4536"/>
    </w:pPr>
  </w:style>
  <w:style w:type="paragraph" w:customStyle="1" w:styleId="assinatura">
    <w:name w:val="assinatura"/>
    <w:basedOn w:val="Pargrafo"/>
    <w:rsid w:val="000353C3"/>
    <w:pPr>
      <w:spacing w:before="0" w:after="0"/>
      <w:ind w:firstLine="0"/>
      <w:jc w:val="center"/>
    </w:pPr>
  </w:style>
  <w:style w:type="paragraph" w:customStyle="1" w:styleId="Pargrafo2">
    <w:name w:val="Parágrafo 2"/>
    <w:basedOn w:val="Pargrafo"/>
    <w:rsid w:val="000353C3"/>
    <w:pPr>
      <w:spacing w:line="480" w:lineRule="auto"/>
    </w:pPr>
  </w:style>
  <w:style w:type="paragraph" w:styleId="Rodap">
    <w:name w:val="footer"/>
    <w:basedOn w:val="Normal"/>
    <w:rsid w:val="002331F7"/>
    <w:pPr>
      <w:tabs>
        <w:tab w:val="center" w:pos="4252"/>
        <w:tab w:val="right" w:pos="8504"/>
      </w:tabs>
    </w:pPr>
  </w:style>
  <w:style w:type="paragraph" w:styleId="TextosemFormatao">
    <w:name w:val="Plain Text"/>
    <w:basedOn w:val="Normal"/>
    <w:link w:val="TextosemFormataoChar"/>
    <w:uiPriority w:val="99"/>
    <w:unhideWhenUsed/>
    <w:rsid w:val="002C0F66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2C0F66"/>
    <w:rPr>
      <w:rFonts w:ascii="Consolas" w:eastAsiaTheme="minorHAnsi" w:hAnsi="Consolas" w:cstheme="minorBidi"/>
      <w:sz w:val="21"/>
      <w:szCs w:val="21"/>
      <w:lang w:eastAsia="en-US"/>
    </w:rPr>
  </w:style>
  <w:style w:type="paragraph" w:styleId="Textodebalo">
    <w:name w:val="Balloon Text"/>
    <w:basedOn w:val="Normal"/>
    <w:link w:val="TextodebaloChar"/>
    <w:rsid w:val="00AE362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AE3623"/>
    <w:rPr>
      <w:rFonts w:ascii="Tahoma" w:hAnsi="Tahoma" w:cs="Tahoma"/>
      <w:sz w:val="16"/>
      <w:szCs w:val="16"/>
    </w:rPr>
  </w:style>
  <w:style w:type="character" w:customStyle="1" w:styleId="PargrafoChar">
    <w:name w:val="Parágrafo Char"/>
    <w:basedOn w:val="Fontepargpadro"/>
    <w:link w:val="Pargrafo"/>
    <w:locked/>
    <w:rsid w:val="00AE3623"/>
    <w:rPr>
      <w:rFonts w:ascii="Arial" w:hAnsi="Arial"/>
      <w:sz w:val="22"/>
      <w:szCs w:val="24"/>
    </w:rPr>
  </w:style>
  <w:style w:type="paragraph" w:styleId="Corpodetexto2">
    <w:name w:val="Body Text 2"/>
    <w:basedOn w:val="Normal"/>
    <w:link w:val="Corpodetexto2Char"/>
    <w:unhideWhenUsed/>
    <w:rsid w:val="00AE3623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AE3623"/>
    <w:rPr>
      <w:sz w:val="24"/>
      <w:szCs w:val="24"/>
    </w:rPr>
  </w:style>
  <w:style w:type="character" w:customStyle="1" w:styleId="centralizarChar">
    <w:name w:val="centralizar Char"/>
    <w:link w:val="centralizar"/>
    <w:locked/>
    <w:rsid w:val="00AE3623"/>
    <w:rPr>
      <w:rFonts w:ascii="Arial" w:hAnsi="Arial"/>
      <w:b/>
      <w:sz w:val="2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246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ora2-trf1\Modelos\modelos%20gabinetes\M&#193;SCARA%20PADR&#195;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MÁSCARA PADRÃO</Template>
  <TotalTime>2</TotalTime>
  <Pages>2</Pages>
  <Words>959</Words>
  <Characters>5114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trf1</Company>
  <LinksUpToDate>false</LinksUpToDate>
  <CharactersWithSpaces>6061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TR300321</dc:creator>
  <cp:lastModifiedBy>ba6574es</cp:lastModifiedBy>
  <cp:revision>4</cp:revision>
  <dcterms:created xsi:type="dcterms:W3CDTF">2018-06-25T20:09:00Z</dcterms:created>
  <dcterms:modified xsi:type="dcterms:W3CDTF">2018-07-03T19:58:00Z</dcterms:modified>
</cp:coreProperties>
</file>