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C77" w:rsidRDefault="00EC0C77" w:rsidP="00CB7C35">
      <w:pPr>
        <w:pStyle w:val="TextosemFormatao"/>
        <w:rPr>
          <w:rFonts w:ascii="Courier New" w:hAnsi="Courier New" w:cs="Courier New"/>
        </w:rPr>
      </w:pPr>
    </w:p>
    <w:p w:rsidR="00EC0C77" w:rsidRPr="00CB7C35" w:rsidRDefault="00EC0C77" w:rsidP="00EC0C77">
      <w:pPr>
        <w:pStyle w:val="Identificao"/>
      </w:pPr>
      <w:r w:rsidRPr="00CB7C35">
        <w:t>APELAÇÃO/REEXAME NECESSÁRIO</w:t>
      </w:r>
      <w:proofErr w:type="gramStart"/>
      <w:r w:rsidRPr="00CB7C35">
        <w:t xml:space="preserve">  </w:t>
      </w:r>
      <w:proofErr w:type="gramEnd"/>
      <w:r w:rsidRPr="00CB7C35">
        <w:t>0026880-31.2014.4.01.3700/MA</w:t>
      </w:r>
    </w:p>
    <w:p w:rsidR="00EC0C77" w:rsidRPr="00CB7C35" w:rsidRDefault="00EC0C77" w:rsidP="00EC0C77">
      <w:pPr>
        <w:pStyle w:val="Identificao"/>
      </w:pPr>
      <w:r w:rsidRPr="00CB7C35">
        <w:t>Processo na Origem: 268803120144013700</w:t>
      </w:r>
    </w:p>
    <w:p w:rsidR="00EC0C77" w:rsidRPr="00CF286D" w:rsidRDefault="00EC0C77" w:rsidP="00EC0C77">
      <w:pPr>
        <w:pStyle w:val="centralizar"/>
      </w:pPr>
      <w:r w:rsidRPr="00CF286D">
        <w:t>RELATÓRIO</w:t>
      </w:r>
    </w:p>
    <w:p w:rsidR="00EC0C77" w:rsidRPr="00CF286D" w:rsidRDefault="00EC0C77" w:rsidP="00EC0C77">
      <w:pPr>
        <w:pStyle w:val="Pargrafo"/>
        <w:rPr>
          <w:b/>
          <w:bCs/>
          <w:spacing w:val="-2"/>
        </w:rPr>
      </w:pPr>
      <w:r w:rsidRPr="00CF286D">
        <w:rPr>
          <w:b/>
          <w:bCs/>
          <w:spacing w:val="-2"/>
        </w:rPr>
        <w:t xml:space="preserve">O EXMO. </w:t>
      </w:r>
      <w:proofErr w:type="gramStart"/>
      <w:r w:rsidRPr="00CF286D">
        <w:rPr>
          <w:b/>
          <w:bCs/>
          <w:spacing w:val="-2"/>
        </w:rPr>
        <w:t>SR.</w:t>
      </w:r>
      <w:proofErr w:type="gramEnd"/>
      <w:r w:rsidRPr="00CF286D">
        <w:rPr>
          <w:b/>
          <w:bCs/>
          <w:spacing w:val="-2"/>
        </w:rPr>
        <w:t xml:space="preserve"> </w:t>
      </w:r>
      <w:r w:rsidRPr="00CF286D">
        <w:rPr>
          <w:b/>
          <w:spacing w:val="-2"/>
        </w:rPr>
        <w:t>DESEMBARGADOR FEDERAL HERCULES FAJOSES</w:t>
      </w:r>
      <w:r w:rsidRPr="00CF286D">
        <w:rPr>
          <w:b/>
          <w:bCs/>
          <w:spacing w:val="-2"/>
        </w:rPr>
        <w:t xml:space="preserve"> (RELATOR): </w:t>
      </w:r>
    </w:p>
    <w:p w:rsidR="00EC0C77" w:rsidRPr="00CF286D" w:rsidRDefault="00EC0C77" w:rsidP="00EC0C77">
      <w:pPr>
        <w:pStyle w:val="Pargrafo"/>
      </w:pPr>
      <w:r w:rsidRPr="00CF286D">
        <w:t xml:space="preserve">Trata-se de juízo de adequação em acórdão que negou provimento à apelação e à remessa oficial para manter a sentença que afastou a cobrança de foro e laudêmio sobre o imóvel descrito na inicial, após a publicação da Emenda Constitucional nº 46/2005. </w:t>
      </w:r>
    </w:p>
    <w:p w:rsidR="00EC0C77" w:rsidRPr="00CF286D" w:rsidRDefault="00EC0C77" w:rsidP="00EC0C77">
      <w:pPr>
        <w:pStyle w:val="Pargrafo"/>
        <w:rPr>
          <w:spacing w:val="-2"/>
        </w:rPr>
      </w:pPr>
      <w:r w:rsidRPr="00CF286D">
        <w:rPr>
          <w:spacing w:val="-2"/>
        </w:rPr>
        <w:t>Os autos vieram-me conclusos por determinação da Presidência desta egrégia Corte, em razão do julgamento do RE 636.199/ES, submetido ao regime do art. 543-B do CPC/1973 (Repercussão Geral), para fins de adequação do julgado ao paradigma representativo da controvérsia.</w:t>
      </w:r>
    </w:p>
    <w:p w:rsidR="00EC0C77" w:rsidRPr="00CF286D" w:rsidRDefault="00EC0C77" w:rsidP="00EC0C77">
      <w:pPr>
        <w:pStyle w:val="Pargrafo"/>
      </w:pPr>
      <w:r w:rsidRPr="00CF286D">
        <w:t>É o relatório.</w:t>
      </w:r>
    </w:p>
    <w:p w:rsidR="00EC0C77" w:rsidRPr="00CF286D" w:rsidRDefault="00EC0C77" w:rsidP="00EC0C77">
      <w:pPr>
        <w:pStyle w:val="centralizar"/>
      </w:pPr>
      <w:r w:rsidRPr="00CF286D">
        <w:t>VOTO</w:t>
      </w:r>
    </w:p>
    <w:p w:rsidR="00EC0C77" w:rsidRPr="00CF286D" w:rsidRDefault="00EC0C77" w:rsidP="00EC0C77">
      <w:pPr>
        <w:pStyle w:val="Pargrafo"/>
        <w:rPr>
          <w:b/>
          <w:bCs/>
          <w:spacing w:val="-2"/>
        </w:rPr>
      </w:pPr>
      <w:r w:rsidRPr="00CF286D">
        <w:rPr>
          <w:b/>
          <w:bCs/>
          <w:spacing w:val="-2"/>
        </w:rPr>
        <w:t xml:space="preserve">O EXMO. </w:t>
      </w:r>
      <w:proofErr w:type="gramStart"/>
      <w:r w:rsidRPr="00CF286D">
        <w:rPr>
          <w:b/>
          <w:bCs/>
          <w:spacing w:val="-2"/>
        </w:rPr>
        <w:t>SR.</w:t>
      </w:r>
      <w:proofErr w:type="gramEnd"/>
      <w:r w:rsidRPr="00CF286D">
        <w:rPr>
          <w:b/>
          <w:bCs/>
          <w:spacing w:val="-2"/>
        </w:rPr>
        <w:t xml:space="preserve"> </w:t>
      </w:r>
      <w:r w:rsidRPr="00CF286D">
        <w:rPr>
          <w:b/>
          <w:spacing w:val="-2"/>
        </w:rPr>
        <w:t>DESEMBARGADOR FEDERAL HERCULES FAJOSES</w:t>
      </w:r>
      <w:r w:rsidRPr="00CF286D">
        <w:rPr>
          <w:b/>
          <w:bCs/>
          <w:spacing w:val="-2"/>
        </w:rPr>
        <w:t xml:space="preserve"> (RELATOR): </w:t>
      </w:r>
    </w:p>
    <w:p w:rsidR="00EC0C77" w:rsidRPr="00CF286D" w:rsidRDefault="00EC0C77" w:rsidP="00EC0C77">
      <w:pPr>
        <w:pStyle w:val="Pargrafo"/>
      </w:pPr>
      <w:r w:rsidRPr="00CF286D">
        <w:t>Prescreve o art. 20 da Constituição Federal que:</w:t>
      </w:r>
    </w:p>
    <w:p w:rsidR="00EC0C77" w:rsidRPr="00CF286D" w:rsidRDefault="00EC0C77" w:rsidP="00EC0C77">
      <w:pPr>
        <w:pStyle w:val="Transcrio"/>
      </w:pPr>
      <w:r w:rsidRPr="00CF286D">
        <w:t>São bens da União:</w:t>
      </w:r>
    </w:p>
    <w:p w:rsidR="00EC0C77" w:rsidRPr="00CF286D" w:rsidRDefault="00EC0C77" w:rsidP="00EC0C77">
      <w:pPr>
        <w:pStyle w:val="Transcrio"/>
      </w:pPr>
      <w:bookmarkStart w:id="0" w:name="20I"/>
      <w:bookmarkEnd w:id="0"/>
      <w:r w:rsidRPr="00CF286D">
        <w:t>[...]</w:t>
      </w:r>
    </w:p>
    <w:p w:rsidR="00EC0C77" w:rsidRPr="00CF286D" w:rsidRDefault="00EC0C77" w:rsidP="00EC0C77">
      <w:pPr>
        <w:pStyle w:val="Transcrio"/>
      </w:pPr>
      <w:bookmarkStart w:id="1" w:name="20IV"/>
      <w:bookmarkStart w:id="2" w:name="art20iv."/>
      <w:bookmarkEnd w:id="1"/>
      <w:bookmarkEnd w:id="2"/>
      <w:r w:rsidRPr="00CF286D">
        <w:t xml:space="preserve">IV - as ilhas fluviais e lacustres nas zonas limítrofes com outros países; as praias marítimas; </w:t>
      </w:r>
      <w:r w:rsidRPr="00CF286D">
        <w:rPr>
          <w:u w:val="single"/>
        </w:rPr>
        <w:t>as ilhas oceânicas e as costeiras</w:t>
      </w:r>
      <w:r w:rsidRPr="00CF286D">
        <w:t xml:space="preserve">, </w:t>
      </w:r>
      <w:r w:rsidRPr="00CF286D">
        <w:rPr>
          <w:b/>
        </w:rPr>
        <w:t>excluídas, destas, as que contenham a sede de Municípios</w:t>
      </w:r>
      <w:r w:rsidRPr="00CF286D">
        <w:t>, exceto aquelas áreas afetadas ao serviço público e a unidade ambiental federal, e as referidas no art. 26, I; (Redação dada pela Emenda Constitucional nº 46, de 2005</w:t>
      </w:r>
      <w:proofErr w:type="gramStart"/>
      <w:r w:rsidRPr="00CF286D">
        <w:t>)</w:t>
      </w:r>
      <w:proofErr w:type="gramEnd"/>
    </w:p>
    <w:p w:rsidR="00EC0C77" w:rsidRPr="00CF286D" w:rsidRDefault="00EC0C77" w:rsidP="00EC0C77">
      <w:pPr>
        <w:pStyle w:val="Transcrio"/>
      </w:pPr>
      <w:bookmarkStart w:id="3" w:name="20V"/>
      <w:bookmarkEnd w:id="3"/>
      <w:r w:rsidRPr="00CF286D">
        <w:t>V - os recursos naturais da plataforma continental e da zona econômica exclusiva;</w:t>
      </w:r>
    </w:p>
    <w:p w:rsidR="00EC0C77" w:rsidRPr="00CF286D" w:rsidRDefault="00EC0C77" w:rsidP="00EC0C77">
      <w:pPr>
        <w:pStyle w:val="Transcrio"/>
      </w:pPr>
      <w:bookmarkStart w:id="4" w:name="20VI"/>
      <w:bookmarkEnd w:id="4"/>
      <w:r w:rsidRPr="00CF286D">
        <w:t>VI - o mar territorial;</w:t>
      </w:r>
    </w:p>
    <w:p w:rsidR="00EC0C77" w:rsidRPr="00CF286D" w:rsidRDefault="00EC0C77" w:rsidP="00EC0C77">
      <w:pPr>
        <w:pStyle w:val="Transcrio"/>
      </w:pPr>
      <w:bookmarkStart w:id="5" w:name="20VII"/>
      <w:bookmarkEnd w:id="5"/>
      <w:r w:rsidRPr="00CF286D">
        <w:t>VII - os terrenos de marinha e seus acrescidos;</w:t>
      </w:r>
    </w:p>
    <w:p w:rsidR="00EC0C77" w:rsidRPr="00CF286D" w:rsidRDefault="00EC0C77" w:rsidP="00EC0C77">
      <w:pPr>
        <w:pStyle w:val="Transcrio"/>
      </w:pPr>
      <w:bookmarkStart w:id="6" w:name="20VIII"/>
      <w:bookmarkEnd w:id="6"/>
      <w:r w:rsidRPr="00CF286D">
        <w:t>[...]</w:t>
      </w:r>
    </w:p>
    <w:p w:rsidR="00EC0C77" w:rsidRPr="00CF286D" w:rsidRDefault="00EC0C77" w:rsidP="00EC0C77">
      <w:pPr>
        <w:pStyle w:val="Pargrafo"/>
        <w:ind w:firstLine="1276"/>
      </w:pPr>
      <w:bookmarkStart w:id="7" w:name="art20§1"/>
      <w:bookmarkStart w:id="8" w:name="20§1"/>
      <w:bookmarkStart w:id="9" w:name="art20§2"/>
      <w:bookmarkStart w:id="10" w:name="20§2"/>
      <w:bookmarkEnd w:id="7"/>
      <w:bookmarkEnd w:id="8"/>
      <w:bookmarkEnd w:id="9"/>
      <w:bookmarkEnd w:id="10"/>
      <w:r w:rsidRPr="00CF286D">
        <w:t>O inciso IV, incluído pela Emenda Constitucional nº 46/2005, destaca os bens da União e excetua as áreas afetadas ao serviço público, a unidade ambiental federal e as referidas no inciso I do art. 26 da Constituição Federal, firmando mencionado dispositivo que: “</w:t>
      </w:r>
      <w:r w:rsidRPr="00CF286D">
        <w:rPr>
          <w:i/>
        </w:rPr>
        <w:t xml:space="preserve">Art. 26. Incluem-se entre os bens dos Estados: </w:t>
      </w:r>
      <w:bookmarkStart w:id="11" w:name="26I"/>
      <w:bookmarkEnd w:id="11"/>
      <w:r w:rsidRPr="00CF286D">
        <w:rPr>
          <w:i/>
        </w:rPr>
        <w:t xml:space="preserve">I - as águas superficiais ou subterrâneas, fluentes, emergentes e em depósito, ressalvadas, neste caso, na forma da lei, as decorrentes de obras da União; </w:t>
      </w:r>
      <w:bookmarkStart w:id="12" w:name="cfart26ii"/>
      <w:bookmarkEnd w:id="12"/>
      <w:r w:rsidRPr="00CF286D">
        <w:rPr>
          <w:i/>
        </w:rPr>
        <w:t>[...]</w:t>
      </w:r>
      <w:r w:rsidRPr="00CF286D">
        <w:t>”.</w:t>
      </w:r>
    </w:p>
    <w:p w:rsidR="00EC0C77" w:rsidRPr="00CF286D" w:rsidRDefault="00EC0C77" w:rsidP="00EC0C77">
      <w:pPr>
        <w:pStyle w:val="Pargrafo"/>
        <w:ind w:firstLine="1276"/>
      </w:pPr>
      <w:r w:rsidRPr="00CF286D">
        <w:t>A EC nº 46/2005 definiu que são bens da União: as ilhas fluviais e lacustres nas zonas limítrofes com outros países; as praias marítimas; as ilhas oceânicas e as costeiras, excluídas, destas, as que contenham a sede de Municípios.</w:t>
      </w:r>
    </w:p>
    <w:p w:rsidR="00EC0C77" w:rsidRPr="00CF286D" w:rsidRDefault="00EC0C77" w:rsidP="00EC0C77">
      <w:pPr>
        <w:pStyle w:val="Pargrafo"/>
        <w:ind w:firstLine="1276"/>
      </w:pPr>
      <w:r w:rsidRPr="00CF286D">
        <w:t>Entretanto, restou inalterado o inciso VII do art. 20, no qual dispõe que são bens da União, também, os terrenos de marinha e seus acrescidos.</w:t>
      </w:r>
    </w:p>
    <w:p w:rsidR="00EC0C77" w:rsidRPr="00CF286D" w:rsidRDefault="00EC0C77" w:rsidP="00EC0C77">
      <w:pPr>
        <w:pStyle w:val="Pargrafo"/>
        <w:ind w:firstLine="1276"/>
      </w:pPr>
      <w:r w:rsidRPr="00CF286D">
        <w:lastRenderedPageBreak/>
        <w:t xml:space="preserve">O tema em análise foi apreciado pelo egrégio Supremo Tribunal Federal, em julgamento realizado sob o rito da Repercussão Geral a que alude o art. 543-B do Código de Processo Civil de 1973 (RG-RE nº 636.199/ES), reconhecendo que: </w:t>
      </w:r>
    </w:p>
    <w:p w:rsidR="00EC0C77" w:rsidRPr="00CF286D" w:rsidRDefault="00EC0C77" w:rsidP="00EC0C77">
      <w:pPr>
        <w:pStyle w:val="Transcrio"/>
      </w:pPr>
      <w:r w:rsidRPr="00CF286D">
        <w:t xml:space="preserve"> [...] </w:t>
      </w:r>
      <w:r w:rsidRPr="00CF286D">
        <w:rPr>
          <w:u w:val="single"/>
        </w:rPr>
        <w:t xml:space="preserve">A EC nº 46/2005 não alterou o regime patrimonial dos terrenos de marinha, tampouco dos potenciais de energia elétrica, dos recursos minerais, das terras tradicionalmente ocupadas pelos índios e de nenhum </w:t>
      </w:r>
      <w:proofErr w:type="gramStart"/>
      <w:r w:rsidRPr="00CF286D">
        <w:rPr>
          <w:u w:val="single"/>
        </w:rPr>
        <w:t>outro bem arrolados</w:t>
      </w:r>
      <w:proofErr w:type="gramEnd"/>
      <w:r w:rsidRPr="00CF286D">
        <w:rPr>
          <w:u w:val="single"/>
        </w:rPr>
        <w:t xml:space="preserve"> no art. 20 da CF</w:t>
      </w:r>
      <w:r w:rsidRPr="00CF286D">
        <w:t xml:space="preserve">. 6. Conformação do conteúdo e alcance da Emenda Constitucional nº 46/2005 ao primado da isonomia, princípio informador – a um só tempo – dos âmbitos de elaboração, interpretação e aplicação da lei. </w:t>
      </w:r>
      <w:r w:rsidRPr="00CF286D">
        <w:rPr>
          <w:u w:val="single"/>
        </w:rPr>
        <w:t xml:space="preserve">Ausente fator de </w:t>
      </w:r>
      <w:proofErr w:type="spellStart"/>
      <w:r w:rsidRPr="00CF286D">
        <w:rPr>
          <w:u w:val="single"/>
        </w:rPr>
        <w:t>discrímen</w:t>
      </w:r>
      <w:proofErr w:type="spellEnd"/>
      <w:r w:rsidRPr="00CF286D">
        <w:rPr>
          <w:u w:val="single"/>
        </w:rPr>
        <w:t xml:space="preserve"> a legitimar a geração de efeitos desuniformes, no tocante ao regramento dos terrenos de </w:t>
      </w:r>
      <w:proofErr w:type="gramStart"/>
      <w:r w:rsidRPr="00CF286D">
        <w:rPr>
          <w:u w:val="single"/>
        </w:rPr>
        <w:t>marinha e acrescidos</w:t>
      </w:r>
      <w:proofErr w:type="gramEnd"/>
      <w:r w:rsidRPr="00CF286D">
        <w:rPr>
          <w:u w:val="single"/>
        </w:rPr>
        <w:t xml:space="preserve">, entre municípios insulares e continentais, </w:t>
      </w:r>
      <w:r w:rsidRPr="00CF286D">
        <w:rPr>
          <w:b/>
          <w:u w:val="single"/>
        </w:rPr>
        <w:t>incide sobre ambos</w:t>
      </w:r>
      <w:r w:rsidRPr="00CF286D">
        <w:rPr>
          <w:u w:val="single"/>
        </w:rPr>
        <w:t>, sem distinção, o art. 20, VII, da Constituição da República</w:t>
      </w:r>
      <w:r w:rsidRPr="00CF286D">
        <w:t xml:space="preserve">. 7. </w:t>
      </w:r>
      <w:r w:rsidRPr="00CF286D">
        <w:rPr>
          <w:b/>
        </w:rPr>
        <w:t xml:space="preserve">Tese firmada pelo Plenário do Supremo Tribunal Federal: Ao equiparar o regime jurídico-patrimonial das ilhas costeiras em que sediados Municípios àquele incidente sobre a porção continental do território brasileiro, a Emenda Constitucional nº 46/2005 não interferiu na propriedade da União, nos moldes do art. 20, VII, da Constituição da República, sobre os terrenos de marinha e seus acrescidos situados em ilhas costeiras sede de Municípios, incólumes </w:t>
      </w:r>
      <w:proofErr w:type="gramStart"/>
      <w:r w:rsidRPr="00CF286D">
        <w:rPr>
          <w:b/>
        </w:rPr>
        <w:t>as</w:t>
      </w:r>
      <w:proofErr w:type="gramEnd"/>
      <w:r w:rsidRPr="00CF286D">
        <w:rPr>
          <w:b/>
        </w:rPr>
        <w:t xml:space="preserve"> relações jurídicas daí decorrentes</w:t>
      </w:r>
      <w:r w:rsidRPr="00CF286D">
        <w:t xml:space="preserve">. 8. Conclusão que não implica afirmar ilegítimos inconformismos quanto à aplicação do regramento infraconstitucional pertinente e aos procedimentos adotados pela Secretaria de Patrimônio da União, matérias que, todavia, não integram o objeto deste apelo extremo e cujo exame refoge à competência extraordinária desta Corte. Procedem da legislação infraconstitucional as dificuldades práticas decorrentes (i) da opção legislativa de adotar a linha </w:t>
      </w:r>
      <w:proofErr w:type="gramStart"/>
      <w:r w:rsidRPr="00CF286D">
        <w:t>do preamar</w:t>
      </w:r>
      <w:proofErr w:type="gramEnd"/>
      <w:r w:rsidRPr="00CF286D">
        <w:t xml:space="preserve"> médio de 1831 como ponto de referência para medição dos terrenos de marinha (Decreto-Lei nº 9.760/1946), e (ii) das transformações, naturais ou artificiais, ocorridas ao longo dos anos, como os aterramentos e as alterações do relevo acumuladas. Não guardam relação com a alteração promovida pela EC nº 46/2005, e não foram por ela solucionadas. 9. Recurso extraordinário conhecido e não provido. (RE 636199, </w:t>
      </w:r>
      <w:proofErr w:type="gramStart"/>
      <w:r w:rsidRPr="00CF286D">
        <w:t>Relator(</w:t>
      </w:r>
      <w:proofErr w:type="gramEnd"/>
      <w:r w:rsidRPr="00CF286D">
        <w:t xml:space="preserve">a):  Min. Rosa Weber, Tribunal Pleno, julgado em 27/04/2017, PROCESSO ELETRÔNICO </w:t>
      </w:r>
      <w:proofErr w:type="spellStart"/>
      <w:r w:rsidRPr="00CF286D">
        <w:t>DJe</w:t>
      </w:r>
      <w:proofErr w:type="spellEnd"/>
      <w:r w:rsidRPr="00CF286D">
        <w:t>-170 DIVULG 02-08-2017 PUBLIC 03-08-2017).</w:t>
      </w:r>
    </w:p>
    <w:p w:rsidR="00EC0C77" w:rsidRPr="00CF286D" w:rsidRDefault="00EC0C77" w:rsidP="00EC0C77">
      <w:pPr>
        <w:pStyle w:val="Pargrafo"/>
        <w:ind w:firstLine="1276"/>
      </w:pPr>
      <w:r w:rsidRPr="00CF286D">
        <w:t xml:space="preserve">Depreende-se que a desoneração trazida pela EC nº 46/2005 restringe-se, tão somente, </w:t>
      </w:r>
      <w:r w:rsidRPr="00CF286D">
        <w:rPr>
          <w:u w:val="single"/>
        </w:rPr>
        <w:t>às ilhas oceânicas e às costeiras</w:t>
      </w:r>
      <w:r w:rsidRPr="00CF286D">
        <w:t xml:space="preserve"> </w:t>
      </w:r>
      <w:r w:rsidRPr="00CF286D">
        <w:rPr>
          <w:b/>
        </w:rPr>
        <w:t>que contenham a sede de Municípios</w:t>
      </w:r>
      <w:r w:rsidRPr="00CF286D">
        <w:t>, dentre os quais, São Luís – MA, mantendo-se inalterados, na condição de bens da União, os terrenos de marinha e seus acrescidos.</w:t>
      </w:r>
    </w:p>
    <w:p w:rsidR="00EC0C77" w:rsidRPr="00CF286D" w:rsidRDefault="00EC0C77" w:rsidP="00EC0C77">
      <w:pPr>
        <w:pStyle w:val="Pargrafo"/>
        <w:ind w:firstLine="1276"/>
      </w:pPr>
      <w:r w:rsidRPr="00CF286D">
        <w:t>Dos documentos acostados aos autos, destaco que o imóvel objeto da presente ação é caracterizado como “</w:t>
      </w:r>
      <w:r w:rsidRPr="00CF286D">
        <w:rPr>
          <w:i/>
        </w:rPr>
        <w:t>Nacional Interior</w:t>
      </w:r>
      <w:r w:rsidRPr="00CF286D">
        <w:t>”, desmembrado da área denominada Rio Anil, não integrando o conceito de terreno de marinha.</w:t>
      </w:r>
    </w:p>
    <w:p w:rsidR="00EC0C77" w:rsidRPr="00CF286D" w:rsidRDefault="00EC0C77" w:rsidP="00EC0C77">
      <w:pPr>
        <w:pStyle w:val="Pargrafo"/>
        <w:ind w:firstLine="1276"/>
        <w:rPr>
          <w:i/>
          <w:sz w:val="21"/>
          <w:szCs w:val="21"/>
        </w:rPr>
      </w:pPr>
      <w:r w:rsidRPr="00CF286D">
        <w:t xml:space="preserve">Sobre o tema, a orientação prevalente é a proferida no voto da eminente Desembargadora Federal Maria do Carmo Cardoso, conforme ementa abaixo transcrita (EIAC nº 0040877-52.2012.4.01.3700/MA, julgamento ocorrido em 29 de julho de 2015, publicado no e-DJF1 de 30/09/2015), então vencidos os ilustres Desembargadores Federais </w:t>
      </w:r>
      <w:proofErr w:type="spellStart"/>
      <w:r w:rsidRPr="00CF286D">
        <w:t>Novély</w:t>
      </w:r>
      <w:proofErr w:type="spellEnd"/>
      <w:r w:rsidRPr="00CF286D">
        <w:t xml:space="preserve"> Vilanova e Marcos Augusto de Sousa. Vejamos:</w:t>
      </w:r>
    </w:p>
    <w:p w:rsidR="00EC0C77" w:rsidRPr="00CF286D" w:rsidRDefault="00EC0C77" w:rsidP="00EC0C77">
      <w:pPr>
        <w:pStyle w:val="Transcrio"/>
      </w:pPr>
      <w:r w:rsidRPr="00CF286D">
        <w:t>CONSTITUCIONAL E ADMINISTRATIVO [...].</w:t>
      </w:r>
    </w:p>
    <w:p w:rsidR="00EC0C77" w:rsidRPr="00CF286D" w:rsidRDefault="00EC0C77" w:rsidP="00EC0C77">
      <w:pPr>
        <w:pStyle w:val="Transcrio"/>
      </w:pPr>
      <w:r w:rsidRPr="00CF286D">
        <w:t xml:space="preserve">1 - Desde a promulgação da Emenda Constitucional nº 46/2005, todas as ilhas costeiras que contêm sede de município deixaram de pertencer à União. Remanesceram no domínio da União apenas as áreas afetadas ao </w:t>
      </w:r>
      <w:r w:rsidRPr="00CF286D">
        <w:lastRenderedPageBreak/>
        <w:t xml:space="preserve">serviço público federal, as unidades ambientais federais e os terrenos </w:t>
      </w:r>
      <w:proofErr w:type="gramStart"/>
      <w:r w:rsidRPr="00CF286D">
        <w:t>de marinha e acrescidos</w:t>
      </w:r>
      <w:proofErr w:type="gramEnd"/>
      <w:r w:rsidRPr="00CF286D">
        <w:t>.</w:t>
      </w:r>
    </w:p>
    <w:p w:rsidR="00EC0C77" w:rsidRPr="00CF286D" w:rsidRDefault="00EC0C77" w:rsidP="00EC0C77">
      <w:pPr>
        <w:pStyle w:val="Transcrio"/>
      </w:pPr>
      <w:r w:rsidRPr="00CF286D">
        <w:t xml:space="preserve">2 – Diante da </w:t>
      </w:r>
      <w:proofErr w:type="gramStart"/>
      <w:r w:rsidRPr="00CF286D">
        <w:t>nova ordem constitucional, que estabeleceu critério político-territorial definidor do domínio das ilhas costeiras</w:t>
      </w:r>
      <w:proofErr w:type="gramEnd"/>
      <w:r w:rsidRPr="00CF286D">
        <w:t>, este Tribunal tem definido a impossibilidade da cobrança, pela União, de taxa de ocupação e de laudêmio. [...].</w:t>
      </w:r>
    </w:p>
    <w:p w:rsidR="00EC0C77" w:rsidRPr="00CF286D" w:rsidRDefault="00EC0C77" w:rsidP="00EC0C77">
      <w:pPr>
        <w:pStyle w:val="Transcrio"/>
      </w:pPr>
      <w:r w:rsidRPr="00CF286D">
        <w:t xml:space="preserve">3 – Os Decretos Presidenciais nº 66.227/1970 e nº 71.206/1972 – que autorizaram a cessão da gleba do Rio Anil ao Estado do Maranhão </w:t>
      </w:r>
      <w:proofErr w:type="gramStart"/>
      <w:r w:rsidRPr="00CF286D">
        <w:t>sob regime</w:t>
      </w:r>
      <w:proofErr w:type="gramEnd"/>
      <w:r w:rsidRPr="00CF286D">
        <w:t xml:space="preserve"> de aforamento -, não asseguram à União a propriedade das referidas terras, porquanto foram editados em afronta à Constituição de 1967, vigente na época, que não atribuiu ao ente federativo central a propriedade das ilhas costeiras.[...]</w:t>
      </w:r>
    </w:p>
    <w:p w:rsidR="00EC0C77" w:rsidRPr="00CF286D" w:rsidRDefault="00EC0C77" w:rsidP="00EC0C77">
      <w:pPr>
        <w:pStyle w:val="Transcrio"/>
      </w:pPr>
      <w:r w:rsidRPr="00CF286D">
        <w:t>[...]</w:t>
      </w:r>
    </w:p>
    <w:p w:rsidR="00EC0C77" w:rsidRPr="00CF286D" w:rsidRDefault="00EC0C77" w:rsidP="00EC0C77">
      <w:pPr>
        <w:pStyle w:val="Transcrio"/>
      </w:pPr>
      <w:r w:rsidRPr="00CF286D">
        <w:t>7. Embargos infringentes do autor a que se dá provimento.</w:t>
      </w:r>
    </w:p>
    <w:p w:rsidR="00EC0C77" w:rsidRPr="00CF286D" w:rsidRDefault="00EC0C77" w:rsidP="00EC0C77">
      <w:pPr>
        <w:pStyle w:val="Pargrafo"/>
        <w:ind w:firstLine="1276"/>
      </w:pPr>
      <w:r w:rsidRPr="00CF286D">
        <w:t>Cumpre ressaltar que o Decreto-Lei nº 9.760/1946 definiu os critérios para qualificação dos terrenos de marinha e seus acrescidos. Confira-se:</w:t>
      </w:r>
    </w:p>
    <w:p w:rsidR="00EC0C77" w:rsidRPr="00CF286D" w:rsidRDefault="00EC0C77" w:rsidP="00EC0C77">
      <w:pPr>
        <w:pStyle w:val="Transcrio"/>
      </w:pPr>
      <w:r w:rsidRPr="00CF286D">
        <w:t xml:space="preserve">Art. 2º São terrenos de marinha, em uma profundidade de 33 (trinta e três) metros, medidos horizontalmente, para a parte da terra, da posição da linha </w:t>
      </w:r>
      <w:proofErr w:type="gramStart"/>
      <w:r w:rsidRPr="00CF286D">
        <w:t xml:space="preserve">do </w:t>
      </w:r>
      <w:proofErr w:type="spellStart"/>
      <w:r w:rsidRPr="00CF286D">
        <w:t>preamar-médio</w:t>
      </w:r>
      <w:proofErr w:type="spellEnd"/>
      <w:proofErr w:type="gramEnd"/>
      <w:r w:rsidRPr="00CF286D">
        <w:t xml:space="preserve"> de 1831: </w:t>
      </w:r>
    </w:p>
    <w:p w:rsidR="00EC0C77" w:rsidRPr="00CF286D" w:rsidRDefault="00EC0C77" w:rsidP="00EC0C77">
      <w:pPr>
        <w:pStyle w:val="Transcrio"/>
      </w:pPr>
      <w:r w:rsidRPr="00CF286D">
        <w:t xml:space="preserve">a) os situados no continente, na costa marítima e nas margens dos rios e lagoas, até onde se faça sentir a influência das marés; </w:t>
      </w:r>
    </w:p>
    <w:p w:rsidR="00EC0C77" w:rsidRPr="00CF286D" w:rsidRDefault="00EC0C77" w:rsidP="00EC0C77">
      <w:pPr>
        <w:pStyle w:val="Transcrio"/>
      </w:pPr>
      <w:r w:rsidRPr="00CF286D">
        <w:t xml:space="preserve">b) os que contornam as ilhas situadas em zona onde se faça sentir a influência das marés. </w:t>
      </w:r>
    </w:p>
    <w:p w:rsidR="00EC0C77" w:rsidRPr="00CF286D" w:rsidRDefault="00EC0C77" w:rsidP="00EC0C77">
      <w:pPr>
        <w:pStyle w:val="Transcrio"/>
      </w:pPr>
      <w:r w:rsidRPr="00CF286D">
        <w:t xml:space="preserve">Parágrafo único. Para os efeitos deste artigo a influência das marés é caracterizada pela oscilação periódica de </w:t>
      </w:r>
      <w:proofErr w:type="gramStart"/>
      <w:r w:rsidRPr="00CF286D">
        <w:t>5</w:t>
      </w:r>
      <w:proofErr w:type="gramEnd"/>
      <w:r w:rsidRPr="00CF286D">
        <w:t xml:space="preserve"> (cinco) centímetros pelo menos, do nível das águas, que ocorra em qualquer época do ano. </w:t>
      </w:r>
    </w:p>
    <w:p w:rsidR="00EC0C77" w:rsidRPr="00CF286D" w:rsidRDefault="00EC0C77" w:rsidP="00EC0C77">
      <w:pPr>
        <w:pStyle w:val="Transcrio"/>
      </w:pPr>
      <w:bookmarkStart w:id="13" w:name="art3"/>
      <w:bookmarkEnd w:id="13"/>
      <w:r w:rsidRPr="00CF286D">
        <w:t xml:space="preserve">Art. 3º São terrenos acrescidos de </w:t>
      </w:r>
      <w:proofErr w:type="gramStart"/>
      <w:r w:rsidRPr="00CF286D">
        <w:t>marinha os</w:t>
      </w:r>
      <w:proofErr w:type="gramEnd"/>
      <w:r w:rsidRPr="00CF286D">
        <w:t xml:space="preserve"> que se tiverem formado, natural ou artificialmente, para o lado do mar ou dos rios e lagoas, em seguimento aos terrenos de marinha. </w:t>
      </w:r>
    </w:p>
    <w:p w:rsidR="00EC0C77" w:rsidRPr="00CF286D" w:rsidRDefault="00EC0C77" w:rsidP="00EC0C77">
      <w:pPr>
        <w:pStyle w:val="Transcrio"/>
      </w:pPr>
      <w:r w:rsidRPr="00CF286D">
        <w:t>[...]</w:t>
      </w:r>
    </w:p>
    <w:p w:rsidR="00EC0C77" w:rsidRPr="00CF286D" w:rsidRDefault="00EC0C77" w:rsidP="00EC0C77">
      <w:pPr>
        <w:pStyle w:val="Pargrafo"/>
        <w:ind w:firstLine="1276"/>
      </w:pPr>
      <w:bookmarkStart w:id="14" w:name="art9"/>
      <w:bookmarkEnd w:id="14"/>
      <w:r w:rsidRPr="00CF286D">
        <w:t>Desse modo, resta inviabilizada a pretensão da União de obtenção e manutenção do domínio de áreas contidas em ilhas costeiras ou oceânicas que sejam “</w:t>
      </w:r>
      <w:r w:rsidRPr="00CF286D">
        <w:rPr>
          <w:i/>
        </w:rPr>
        <w:t>sede de município</w:t>
      </w:r>
      <w:r w:rsidRPr="00CF286D">
        <w:t>”, a partir da data da modificação constitucional, afastando a legitimidade da cobrança dos pretendidos tributos.</w:t>
      </w:r>
    </w:p>
    <w:p w:rsidR="00EC0C77" w:rsidRPr="00CF286D" w:rsidRDefault="00EC0C77" w:rsidP="00EC0C77">
      <w:pPr>
        <w:pStyle w:val="Pargrafo"/>
        <w:ind w:firstLine="1276"/>
      </w:pPr>
      <w:r w:rsidRPr="00CF286D">
        <w:t>Quanto à demarcação dos terrenos de marinha (não interiores), a “</w:t>
      </w:r>
      <w:r w:rsidRPr="00CF286D">
        <w:rPr>
          <w:i/>
        </w:rPr>
        <w:t xml:space="preserve">definição da linha preamar média de </w:t>
      </w:r>
      <w:smartTag w:uri="urn:schemas-microsoft-com:office:smarttags" w:element="metricconverter">
        <w:smartTagPr>
          <w:attr w:name="ProductID" w:val="1831”"/>
        </w:smartTagPr>
        <w:r w:rsidRPr="00CF286D">
          <w:rPr>
            <w:i/>
          </w:rPr>
          <w:t>1831</w:t>
        </w:r>
        <w:r w:rsidRPr="00CF286D">
          <w:t>”</w:t>
        </w:r>
      </w:smartTag>
      <w:r w:rsidRPr="00CF286D">
        <w:t xml:space="preserve"> (ponderação das marés máximas), sem a notificação pessoal dos interessados, caracteriza afronta aos princípios do contraditório e da ampla defesa, consoante precedentes da colenda Sétima Turma desta egrégia Corte (AG nº 0074617-77.2011.4.01.0000/MA, Rel. Des. Fed. Luciano Tolentino Amaral):</w:t>
      </w:r>
    </w:p>
    <w:p w:rsidR="00EC0C77" w:rsidRPr="00CF286D" w:rsidRDefault="00EC0C77" w:rsidP="00EC0C77">
      <w:pPr>
        <w:pStyle w:val="Transcrio"/>
      </w:pPr>
      <w:r w:rsidRPr="00CF286D">
        <w:t xml:space="preserve">O STF [...] entendeu atentatória aos princípios do </w:t>
      </w:r>
      <w:proofErr w:type="gramStart"/>
      <w:r w:rsidRPr="00CF286D">
        <w:t>contraditório e ampla defesa</w:t>
      </w:r>
      <w:proofErr w:type="gramEnd"/>
      <w:r w:rsidRPr="00CF286D">
        <w:t>, nos procedimentos demarcatórios de terrenos de marinha, a convocação dos interessados por edital da forma como permitia o art. 11 do DL n. 9.760/46, na redação dada pela Lei n. 11.481/2007, suspendendo a novel legislação.</w:t>
      </w:r>
    </w:p>
    <w:p w:rsidR="00EC0C77" w:rsidRPr="00CF286D" w:rsidRDefault="00EC0C77" w:rsidP="00EC0C77">
      <w:pPr>
        <w:pStyle w:val="Pargrafo"/>
        <w:ind w:firstLine="1276"/>
      </w:pPr>
      <w:r w:rsidRPr="00CF286D">
        <w:t>Assim, mesmo em período anterior à Emenda Constitucional nº 46/2005, é indevida a cobrança de taxa de ocupação e laudêmio pela União, vez que não houve participação d</w:t>
      </w:r>
      <w:r w:rsidR="00121F99">
        <w:t>a</w:t>
      </w:r>
      <w:r w:rsidRPr="00CF286D">
        <w:t xml:space="preserve"> apelad</w:t>
      </w:r>
      <w:r w:rsidR="00121F99">
        <w:t>a</w:t>
      </w:r>
      <w:r w:rsidRPr="00CF286D">
        <w:t xml:space="preserve"> nos procedimentos demarcatórios.</w:t>
      </w:r>
    </w:p>
    <w:p w:rsidR="00EC0C77" w:rsidRPr="00CF286D" w:rsidRDefault="00EC0C77" w:rsidP="00EC0C77">
      <w:pPr>
        <w:pStyle w:val="Pargrafo"/>
        <w:ind w:firstLine="1276"/>
      </w:pPr>
      <w:r w:rsidRPr="00CF286D">
        <w:t xml:space="preserve">Diante da desnecessidade de adequação, </w:t>
      </w:r>
      <w:r w:rsidRPr="00CF286D">
        <w:rPr>
          <w:b/>
        </w:rPr>
        <w:t>mantenho</w:t>
      </w:r>
      <w:r w:rsidRPr="00CF286D">
        <w:t xml:space="preserve"> o acórdão que negou provimento à apelação e à remessa oficial.</w:t>
      </w:r>
    </w:p>
    <w:p w:rsidR="0015179D" w:rsidRPr="00EC0C77" w:rsidRDefault="00EC0C77" w:rsidP="00EC0C77">
      <w:pPr>
        <w:pStyle w:val="Identificao"/>
        <w:ind w:left="567" w:firstLine="709"/>
      </w:pPr>
      <w:r>
        <w:t>É o voto.</w:t>
      </w:r>
    </w:p>
    <w:sectPr w:rsidR="0015179D" w:rsidRPr="00EC0C77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C77" w:rsidRDefault="00EC0C77">
      <w:r>
        <w:separator/>
      </w:r>
    </w:p>
  </w:endnote>
  <w:endnote w:type="continuationSeparator" w:id="0">
    <w:p w:rsidR="00EC0C77" w:rsidRDefault="00EC0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727F0A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727F0A">
      <w:rPr>
        <w:rFonts w:ascii="Arial" w:hAnsi="Arial"/>
        <w:sz w:val="10"/>
      </w:rPr>
      <w:fldChar w:fldCharType="separate"/>
    </w:r>
    <w:r w:rsidR="009136B6">
      <w:rPr>
        <w:rFonts w:ascii="Arial" w:hAnsi="Arial"/>
        <w:noProof/>
        <w:sz w:val="10"/>
      </w:rPr>
      <w:t>W:\ASSESSORIA - VOTOS\JUÍZO DE ADEQUAÇÃO\FORO E LAUDEMIO\ap - 0026880 - 2014 - MA - TR25234ES - foro laudemio.docx</w:t>
    </w:r>
    <w:r w:rsidR="00727F0A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727F0A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727F0A">
      <w:rPr>
        <w:rFonts w:ascii="Arial" w:hAnsi="Arial"/>
        <w:sz w:val="13"/>
      </w:rPr>
      <w:fldChar w:fldCharType="separate"/>
    </w:r>
    <w:r w:rsidR="009136B6">
      <w:rPr>
        <w:rFonts w:ascii="Arial" w:hAnsi="Arial"/>
        <w:noProof/>
        <w:sz w:val="13"/>
      </w:rPr>
      <w:t>W:\ASSESSORIA - VOTOS\JUÍZO DE ADEQUAÇÃO\FORO E LAUDEMIO\ap - 0026880 - 2014 - MA - TR25234ES - foro laudemio.docx</w:t>
    </w:r>
    <w:r w:rsidR="00727F0A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727F0A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727F0A">
      <w:rPr>
        <w:rFonts w:ascii="Arial" w:hAnsi="Arial"/>
        <w:sz w:val="13"/>
      </w:rPr>
      <w:fldChar w:fldCharType="separate"/>
    </w:r>
    <w:r w:rsidR="009136B6">
      <w:rPr>
        <w:rFonts w:ascii="Arial" w:hAnsi="Arial"/>
        <w:noProof/>
        <w:sz w:val="13"/>
      </w:rPr>
      <w:t>TR25234es</w:t>
    </w:r>
    <w:r w:rsidR="00727F0A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C77" w:rsidRDefault="00EC0C77">
      <w:r>
        <w:separator/>
      </w:r>
    </w:p>
  </w:footnote>
  <w:footnote w:type="continuationSeparator" w:id="0">
    <w:p w:rsidR="00EC0C77" w:rsidRDefault="00EC0C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727F0A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727F0A">
      <w:rPr>
        <w:rFonts w:ascii="Arial" w:hAnsi="Arial" w:cs="Arial"/>
        <w:bCs/>
        <w:sz w:val="16"/>
      </w:rPr>
      <w:fldChar w:fldCharType="separate"/>
    </w:r>
    <w:r w:rsidR="00AE4F31">
      <w:rPr>
        <w:rFonts w:ascii="Arial" w:hAnsi="Arial" w:cs="Arial"/>
        <w:bCs/>
        <w:noProof/>
        <w:sz w:val="16"/>
      </w:rPr>
      <w:t>2</w:t>
    </w:r>
    <w:r w:rsidR="00727F0A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727F0A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727F0A">
      <w:rPr>
        <w:rFonts w:ascii="Arial" w:hAnsi="Arial" w:cs="Arial"/>
        <w:bCs/>
        <w:sz w:val="16"/>
      </w:rPr>
      <w:fldChar w:fldCharType="separate"/>
    </w:r>
    <w:r w:rsidR="00AE4F31">
      <w:rPr>
        <w:rFonts w:ascii="Arial" w:hAnsi="Arial" w:cs="Arial"/>
        <w:bCs/>
        <w:noProof/>
        <w:sz w:val="16"/>
      </w:rPr>
      <w:t>3</w:t>
    </w:r>
    <w:r w:rsidR="00727F0A">
      <w:rPr>
        <w:rFonts w:ascii="Arial" w:hAnsi="Arial" w:cs="Arial"/>
        <w:bCs/>
        <w:sz w:val="16"/>
      </w:rPr>
      <w:fldChar w:fldCharType="end"/>
    </w:r>
  </w:p>
  <w:p w:rsidR="00EC0C77" w:rsidRPr="00CB7C35" w:rsidRDefault="00EC0C77" w:rsidP="00EC0C77">
    <w:pPr>
      <w:pStyle w:val="Identificao"/>
    </w:pPr>
    <w:r w:rsidRPr="00CB7C35">
      <w:t>APELAÇÃO/REEXAME NECESSÁRIO</w:t>
    </w:r>
    <w:proofErr w:type="gramStart"/>
    <w:r w:rsidRPr="00CB7C35">
      <w:t xml:space="preserve">  </w:t>
    </w:r>
    <w:proofErr w:type="gramEnd"/>
    <w:r w:rsidRPr="00CB7C35">
      <w:t>0026880-31.2014.4.01.3700/MA</w:t>
    </w:r>
  </w:p>
  <w:p w:rsidR="00EC0C77" w:rsidRDefault="00EC0C77">
    <w:pPr>
      <w:tabs>
        <w:tab w:val="right" w:pos="9540"/>
      </w:tabs>
      <w:spacing w:after="120"/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C77" w:rsidRPr="00EC0C77" w:rsidRDefault="00EC0C77" w:rsidP="00EC0C77">
    <w:pPr>
      <w:jc w:val="right"/>
      <w:rPr>
        <w:rFonts w:ascii="Interleaved 2of5" w:hAnsi="Interleaved 2of5"/>
        <w:sz w:val="48"/>
      </w:rPr>
    </w:pPr>
    <w:r w:rsidRPr="00EC0C77">
      <w:rPr>
        <w:rFonts w:ascii="Interleaved 2of5" w:hAnsi="Interleaved 2of5"/>
        <w:sz w:val="48"/>
      </w:rPr>
      <w:t>(Jæ3&lt;1\1U0)</w:t>
    </w:r>
  </w:p>
  <w:p w:rsidR="004554A7" w:rsidRDefault="00EC0C77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0B3"/>
    <w:rsid w:val="00121F99"/>
    <w:rsid w:val="0015179D"/>
    <w:rsid w:val="00191A8C"/>
    <w:rsid w:val="002331F7"/>
    <w:rsid w:val="0030743F"/>
    <w:rsid w:val="003E50B3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27F0A"/>
    <w:rsid w:val="007A7066"/>
    <w:rsid w:val="007C3424"/>
    <w:rsid w:val="008713AE"/>
    <w:rsid w:val="00872397"/>
    <w:rsid w:val="008A3D69"/>
    <w:rsid w:val="008C4395"/>
    <w:rsid w:val="009136B6"/>
    <w:rsid w:val="0099169E"/>
    <w:rsid w:val="00AE3D8B"/>
    <w:rsid w:val="00AE4F31"/>
    <w:rsid w:val="00C5492A"/>
    <w:rsid w:val="00D221D6"/>
    <w:rsid w:val="00DD0AC9"/>
    <w:rsid w:val="00E850E4"/>
    <w:rsid w:val="00EC0C77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0743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30743F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30743F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30743F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30743F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30743F"/>
    <w:pPr>
      <w:ind w:left="2835"/>
    </w:pPr>
  </w:style>
  <w:style w:type="paragraph" w:customStyle="1" w:styleId="transcrio3">
    <w:name w:val="transcrição 3"/>
    <w:basedOn w:val="Identificao"/>
    <w:rsid w:val="0030743F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30743F"/>
    <w:pPr>
      <w:ind w:left="4536"/>
    </w:pPr>
  </w:style>
  <w:style w:type="paragraph" w:customStyle="1" w:styleId="assinatura">
    <w:name w:val="assinatura"/>
    <w:basedOn w:val="Pargrafo"/>
    <w:rsid w:val="0030743F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30743F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EC0C7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C0C7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EC0C77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3E50B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E50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3</Pages>
  <Words>1348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8772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TR25234es</dc:creator>
  <cp:lastModifiedBy>tr19698ps</cp:lastModifiedBy>
  <cp:revision>2</cp:revision>
  <cp:lastPrinted>2018-06-26T13:37:00Z</cp:lastPrinted>
  <dcterms:created xsi:type="dcterms:W3CDTF">2018-06-28T18:52:00Z</dcterms:created>
  <dcterms:modified xsi:type="dcterms:W3CDTF">2018-06-28T18:52:00Z</dcterms:modified>
</cp:coreProperties>
</file>