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tbl>
      <w:tblPr>
        <w:tblW w:w="9781" w:type="dxa"/>
        <w:tblInd w:w="108" w:type="dxa"/>
        <w:tblLayout w:type="fixed"/>
        <w:tblLook w:val="0000"/>
      </w:tblPr>
      <w:tblGrid>
        <w:gridCol w:w="1560"/>
        <w:gridCol w:w="360"/>
        <w:gridCol w:w="7861"/>
      </w:tblGrid>
      <w:tr w:rsidR="000D5D0A" w:rsidRPr="00D53CBE" w:rsidTr="00677082">
        <w:tc>
          <w:tcPr>
            <w:tcW w:w="1560" w:type="dxa"/>
          </w:tcPr>
          <w:p w:rsidR="000D5D0A" w:rsidRPr="00D53CBE" w:rsidRDefault="00677082" w:rsidP="00DD2016">
            <w:pPr>
              <w:pStyle w:val="Ttulo6"/>
              <w:spacing w:before="0" w:after="0" w:line="360" w:lineRule="auto"/>
              <w:rPr>
                <w:b w:val="0"/>
                <w:sz w:val="24"/>
                <w:szCs w:val="24"/>
              </w:rPr>
            </w:pPr>
            <w:r>
              <w:rPr>
                <w:b w:val="0"/>
                <w:sz w:val="24"/>
                <w:szCs w:val="24"/>
              </w:rPr>
              <w:t>Processo</w:t>
            </w:r>
          </w:p>
        </w:tc>
        <w:tc>
          <w:tcPr>
            <w:tcW w:w="360" w:type="dxa"/>
          </w:tcPr>
          <w:p w:rsidR="000D5D0A" w:rsidRPr="00D53CBE" w:rsidRDefault="000D5D0A" w:rsidP="00DD2016">
            <w:pPr>
              <w:spacing w:line="360" w:lineRule="auto"/>
              <w:rPr>
                <w:bCs/>
              </w:rPr>
            </w:pPr>
            <w:r w:rsidRPr="00D53CBE">
              <w:rPr>
                <w:bCs/>
              </w:rPr>
              <w:t>:</w:t>
            </w:r>
          </w:p>
        </w:tc>
        <w:tc>
          <w:tcPr>
            <w:tcW w:w="7861" w:type="dxa"/>
          </w:tcPr>
          <w:p w:rsidR="000D5D0A" w:rsidRPr="00D53CBE" w:rsidRDefault="00132FA5" w:rsidP="00DD2016">
            <w:pPr>
              <w:spacing w:line="360" w:lineRule="auto"/>
              <w:rPr>
                <w:b/>
                <w:bCs/>
              </w:rPr>
            </w:pPr>
            <w:r>
              <w:t>0020719-05.2014.4.01.3700</w:t>
            </w:r>
          </w:p>
        </w:tc>
      </w:tr>
      <w:tr w:rsidR="000D5D0A" w:rsidRPr="00D53CBE" w:rsidTr="00677082">
        <w:tc>
          <w:tcPr>
            <w:tcW w:w="1560" w:type="dxa"/>
          </w:tcPr>
          <w:p w:rsidR="000D5D0A" w:rsidRPr="00D53CBE" w:rsidRDefault="000D5D0A" w:rsidP="00DD2016">
            <w:pPr>
              <w:spacing w:line="360" w:lineRule="auto"/>
            </w:pPr>
            <w:proofErr w:type="gramStart"/>
            <w:r w:rsidRPr="00D53CBE">
              <w:t>Relator(</w:t>
            </w:r>
            <w:proofErr w:type="gramEnd"/>
            <w:r w:rsidRPr="00D53CBE">
              <w:t>a)</w:t>
            </w:r>
          </w:p>
        </w:tc>
        <w:tc>
          <w:tcPr>
            <w:tcW w:w="360" w:type="dxa"/>
          </w:tcPr>
          <w:p w:rsidR="000D5D0A" w:rsidRPr="00D53CBE" w:rsidRDefault="000D5D0A" w:rsidP="00DD2016">
            <w:pPr>
              <w:spacing w:line="360" w:lineRule="auto"/>
            </w:pPr>
            <w:r w:rsidRPr="00D53CBE">
              <w:t>:</w:t>
            </w:r>
          </w:p>
        </w:tc>
        <w:tc>
          <w:tcPr>
            <w:tcW w:w="7861" w:type="dxa"/>
          </w:tcPr>
          <w:p w:rsidR="000D5D0A" w:rsidRPr="00D53CBE" w:rsidRDefault="00D53CBE" w:rsidP="00DD2016">
            <w:pPr>
              <w:spacing w:line="360" w:lineRule="auto"/>
            </w:pPr>
            <w:r>
              <w:t>Juiz Federal Ricardo Beckerath da Silva Leitão</w:t>
            </w:r>
          </w:p>
        </w:tc>
      </w:tr>
      <w:tr w:rsidR="000D5D0A" w:rsidRPr="00D53CBE" w:rsidTr="00677082">
        <w:tc>
          <w:tcPr>
            <w:tcW w:w="1560" w:type="dxa"/>
          </w:tcPr>
          <w:p w:rsidR="000D5D0A" w:rsidRPr="00D53CBE" w:rsidRDefault="000D5D0A" w:rsidP="00DD2016">
            <w:pPr>
              <w:pStyle w:val="Identificao"/>
              <w:overflowPunct w:val="0"/>
              <w:autoSpaceDE w:val="0"/>
              <w:autoSpaceDN w:val="0"/>
              <w:adjustRightInd w:val="0"/>
              <w:spacing w:line="360" w:lineRule="auto"/>
              <w:textAlignment w:val="baseline"/>
              <w:rPr>
                <w:rFonts w:ascii="Times New Roman" w:hAnsi="Times New Roman"/>
                <w:sz w:val="24"/>
              </w:rPr>
            </w:pPr>
            <w:r w:rsidRPr="00D53CBE">
              <w:rPr>
                <w:rFonts w:ascii="Times New Roman" w:hAnsi="Times New Roman"/>
                <w:sz w:val="24"/>
              </w:rPr>
              <w:t>Recorrente</w:t>
            </w:r>
          </w:p>
        </w:tc>
        <w:tc>
          <w:tcPr>
            <w:tcW w:w="360" w:type="dxa"/>
          </w:tcPr>
          <w:p w:rsidR="000D5D0A" w:rsidRPr="00D53CBE" w:rsidRDefault="000D5D0A" w:rsidP="00DD2016">
            <w:pPr>
              <w:spacing w:line="360" w:lineRule="auto"/>
              <w:rPr>
                <w:bCs/>
              </w:rPr>
            </w:pPr>
            <w:r w:rsidRPr="00D53CBE">
              <w:rPr>
                <w:bCs/>
              </w:rPr>
              <w:t>:</w:t>
            </w:r>
          </w:p>
        </w:tc>
        <w:tc>
          <w:tcPr>
            <w:tcW w:w="7861" w:type="dxa"/>
          </w:tcPr>
          <w:p w:rsidR="000D5D0A" w:rsidRPr="00D53CBE" w:rsidRDefault="00132FA5" w:rsidP="00DD2016">
            <w:pPr>
              <w:spacing w:line="360" w:lineRule="auto"/>
              <w:jc w:val="both"/>
              <w:rPr>
                <w:bCs/>
              </w:rPr>
            </w:pPr>
            <w:proofErr w:type="spellStart"/>
            <w:r>
              <w:rPr>
                <w:bCs/>
              </w:rPr>
              <w:t>Atenecy</w:t>
            </w:r>
            <w:proofErr w:type="spellEnd"/>
            <w:r>
              <w:rPr>
                <w:bCs/>
              </w:rPr>
              <w:t xml:space="preserve"> Moraes Ribeiro</w:t>
            </w:r>
          </w:p>
        </w:tc>
      </w:tr>
      <w:tr w:rsidR="000D5D0A" w:rsidRPr="00D53CBE" w:rsidTr="00677082">
        <w:tc>
          <w:tcPr>
            <w:tcW w:w="1560" w:type="dxa"/>
          </w:tcPr>
          <w:p w:rsidR="000D5D0A" w:rsidRPr="00D53CBE" w:rsidRDefault="000D5D0A" w:rsidP="00DD2016">
            <w:pPr>
              <w:spacing w:line="360" w:lineRule="auto"/>
            </w:pPr>
            <w:proofErr w:type="gramStart"/>
            <w:r w:rsidRPr="00D53CBE">
              <w:t>Recorrido(</w:t>
            </w:r>
            <w:proofErr w:type="gramEnd"/>
            <w:r w:rsidRPr="00D53CBE">
              <w:t>a)</w:t>
            </w:r>
          </w:p>
        </w:tc>
        <w:tc>
          <w:tcPr>
            <w:tcW w:w="360" w:type="dxa"/>
          </w:tcPr>
          <w:p w:rsidR="000D5D0A" w:rsidRPr="00D53CBE" w:rsidRDefault="000D5D0A" w:rsidP="00DD2016">
            <w:pPr>
              <w:spacing w:line="360" w:lineRule="auto"/>
              <w:rPr>
                <w:bCs/>
              </w:rPr>
            </w:pPr>
            <w:r w:rsidRPr="00D53CBE">
              <w:rPr>
                <w:bCs/>
              </w:rPr>
              <w:t>:</w:t>
            </w:r>
          </w:p>
        </w:tc>
        <w:tc>
          <w:tcPr>
            <w:tcW w:w="7861" w:type="dxa"/>
          </w:tcPr>
          <w:p w:rsidR="000D5D0A" w:rsidRPr="00D53CBE" w:rsidRDefault="00BA70A8" w:rsidP="00DD2016">
            <w:pPr>
              <w:spacing w:line="360" w:lineRule="auto"/>
              <w:rPr>
                <w:bCs/>
              </w:rPr>
            </w:pPr>
            <w:r>
              <w:rPr>
                <w:bCs/>
              </w:rPr>
              <w:t>Fundação Nacional de Saúde- FUNASA</w:t>
            </w:r>
          </w:p>
        </w:tc>
      </w:tr>
    </w:tbl>
    <w:p w:rsidR="000D5D0A" w:rsidRDefault="000D5D0A" w:rsidP="000D5D0A">
      <w:pPr>
        <w:pStyle w:val="Corpodetexto"/>
      </w:pPr>
    </w:p>
    <w:p w:rsidR="001E53A1" w:rsidRPr="00122844" w:rsidRDefault="00122844" w:rsidP="000D5D0A">
      <w:pPr>
        <w:pStyle w:val="Corpodetexto"/>
        <w:rPr>
          <w:b/>
        </w:rPr>
      </w:pPr>
      <w:r w:rsidRPr="00122844">
        <w:rPr>
          <w:b/>
        </w:rPr>
        <w:t>DIREITO PROCESSUAL CIVIL. DIREITO ADMINISTRATIVO. AGRAVO. DECISÃO DO PRESIDENTE DA TRU. SERVIDOR PÚBLICO. 13,23% (VPNI). REVISÃO GERAL DE VENCIMENTOS. TEMA 1061 DO STF. SÚMULA VINCULANTE 37. CONHECE E NEGA SEGUIMENTO.</w:t>
      </w:r>
    </w:p>
    <w:p w:rsidR="00690E5D" w:rsidRDefault="00690E5D" w:rsidP="000D5D0A">
      <w:pPr>
        <w:pStyle w:val="Corpodetexto"/>
      </w:pPr>
    </w:p>
    <w:p w:rsidR="00690E5D" w:rsidRDefault="00690E5D" w:rsidP="000D5D0A">
      <w:pPr>
        <w:pStyle w:val="Corpodetexto"/>
      </w:pPr>
    </w:p>
    <w:p w:rsidR="009714B4" w:rsidRDefault="00125331" w:rsidP="002D120E">
      <w:pPr>
        <w:pStyle w:val="Ttulo6"/>
        <w:jc w:val="center"/>
        <w:rPr>
          <w:rFonts w:cs="Times New Roman"/>
          <w:sz w:val="24"/>
          <w:szCs w:val="24"/>
          <w:u w:val="single"/>
        </w:rPr>
      </w:pPr>
      <w:r>
        <w:rPr>
          <w:rFonts w:cs="Times New Roman"/>
          <w:sz w:val="24"/>
          <w:szCs w:val="24"/>
          <w:u w:val="single"/>
        </w:rPr>
        <w:t>RELATÓRIO</w:t>
      </w:r>
    </w:p>
    <w:p w:rsidR="004D6147" w:rsidRPr="004D6147" w:rsidRDefault="004D6147" w:rsidP="004D6147">
      <w:pPr>
        <w:pStyle w:val="Corpodetexto"/>
      </w:pPr>
    </w:p>
    <w:p w:rsidR="00AA62FA" w:rsidRPr="00D3357F" w:rsidRDefault="00AA62FA" w:rsidP="00AA62FA">
      <w:pPr>
        <w:pStyle w:val="Corpodetexto"/>
        <w:spacing w:line="360" w:lineRule="auto"/>
        <w:ind w:firstLine="709"/>
        <w:jc w:val="both"/>
      </w:pPr>
      <w:r>
        <w:t>Trata-</w:t>
      </w:r>
      <w:r w:rsidRPr="00D3357F">
        <w:t xml:space="preserve">se de </w:t>
      </w:r>
      <w:r w:rsidRPr="00D3357F">
        <w:rPr>
          <w:b/>
        </w:rPr>
        <w:t>agravo interno</w:t>
      </w:r>
      <w:r w:rsidR="00A02F50" w:rsidRPr="00D3357F">
        <w:rPr>
          <w:b/>
        </w:rPr>
        <w:t xml:space="preserve"> </w:t>
      </w:r>
      <w:r w:rsidRPr="00D3357F">
        <w:t>pela parte AUTORA contra decisão do Presidente da Turma Regional de Uniformização que negou seguimento ao agravo para apreciação do incidente regional de uniformização do demandante.</w:t>
      </w:r>
    </w:p>
    <w:p w:rsidR="00125331" w:rsidRPr="00D3357F" w:rsidRDefault="00690E5D" w:rsidP="00125331">
      <w:pPr>
        <w:pStyle w:val="Corpodetexto"/>
        <w:spacing w:line="360" w:lineRule="auto"/>
        <w:ind w:firstLine="709"/>
        <w:jc w:val="both"/>
      </w:pPr>
      <w:r w:rsidRPr="00D3357F">
        <w:t>O ac</w:t>
      </w:r>
      <w:r w:rsidR="00125331" w:rsidRPr="00D3357F">
        <w:t xml:space="preserve">órdão </w:t>
      </w:r>
      <w:r w:rsidRPr="00D3357F">
        <w:t xml:space="preserve">originário </w:t>
      </w:r>
      <w:r w:rsidR="00C678B0" w:rsidRPr="00D3357F">
        <w:t xml:space="preserve">manteve a sentença </w:t>
      </w:r>
      <w:r w:rsidR="00C678B0" w:rsidRPr="00D3357F">
        <w:rPr>
          <w:b/>
        </w:rPr>
        <w:t>improcedente</w:t>
      </w:r>
      <w:r w:rsidR="000033FB" w:rsidRPr="00D3357F">
        <w:t>, negando o pedido inicial de</w:t>
      </w:r>
      <w:r w:rsidR="000033FB" w:rsidRPr="00D3357F">
        <w:rPr>
          <w:b/>
        </w:rPr>
        <w:t xml:space="preserve"> </w:t>
      </w:r>
      <w:r w:rsidR="00125331" w:rsidRPr="00D3357F">
        <w:t xml:space="preserve">concessão de diferenças salariais relativas a </w:t>
      </w:r>
      <w:r w:rsidR="00125331" w:rsidRPr="00D3357F">
        <w:rPr>
          <w:b/>
        </w:rPr>
        <w:t>13,23%</w:t>
      </w:r>
      <w:r w:rsidR="00125331" w:rsidRPr="00D3357F">
        <w:t xml:space="preserve"> a servidor público federal por meio de decisão judicial tendo em vista a instituição da vantagem pecuniária individual (VPNI) pela Lei n. 10.698/03.</w:t>
      </w:r>
    </w:p>
    <w:p w:rsidR="00D7506F" w:rsidRPr="001E53A1" w:rsidRDefault="00AA62FA" w:rsidP="00125331">
      <w:pPr>
        <w:pStyle w:val="Corpodetexto"/>
        <w:spacing w:line="360" w:lineRule="auto"/>
        <w:ind w:firstLine="709"/>
        <w:jc w:val="both"/>
      </w:pPr>
      <w:r w:rsidRPr="00D3357F">
        <w:t>No incidente de uniformização o recorrente a</w:t>
      </w:r>
      <w:r w:rsidR="00D7506F" w:rsidRPr="00D3357F">
        <w:t>duz que o entendimento proferido p</w:t>
      </w:r>
      <w:r w:rsidR="002E02D9" w:rsidRPr="00D3357F">
        <w:t xml:space="preserve">ela Turma Recursal </w:t>
      </w:r>
      <w:r w:rsidR="00BE11DB" w:rsidRPr="001C3B0A">
        <w:t xml:space="preserve">do </w:t>
      </w:r>
      <w:r w:rsidR="00BE11DB">
        <w:t>Maranhão</w:t>
      </w:r>
      <w:r w:rsidR="00BE11DB" w:rsidRPr="00D3357F">
        <w:t xml:space="preserve"> </w:t>
      </w:r>
      <w:r w:rsidR="00D7506F" w:rsidRPr="00D3357F">
        <w:t xml:space="preserve">está em desacordo com </w:t>
      </w:r>
      <w:r w:rsidR="000033FB" w:rsidRPr="00D3357F">
        <w:t xml:space="preserve">precedente </w:t>
      </w:r>
      <w:r w:rsidR="00D7506F" w:rsidRPr="00D3357F">
        <w:t xml:space="preserve">da </w:t>
      </w:r>
      <w:r w:rsidR="008E6160" w:rsidRPr="00D3357F">
        <w:t xml:space="preserve">Quarta </w:t>
      </w:r>
      <w:r w:rsidR="00D7506F" w:rsidRPr="00D3357F">
        <w:t>Turma Recursal d</w:t>
      </w:r>
      <w:r w:rsidR="008E6160" w:rsidRPr="00D3357F">
        <w:t>e Minas Gerais</w:t>
      </w:r>
      <w:r w:rsidR="00D7506F" w:rsidRPr="00D3357F">
        <w:t xml:space="preserve">, </w:t>
      </w:r>
      <w:r w:rsidR="008E6160" w:rsidRPr="00D3357F">
        <w:t>0000670-44.2013.4.01.3807</w:t>
      </w:r>
      <w:r w:rsidR="00D7506F" w:rsidRPr="00D3357F">
        <w:t>.</w:t>
      </w:r>
      <w:r w:rsidR="004D6147" w:rsidRPr="00D3357F">
        <w:t xml:space="preserve"> Em sede de agravo pede análise do incidente regional</w:t>
      </w:r>
      <w:proofErr w:type="gramStart"/>
      <w:r w:rsidR="004D6147" w:rsidRPr="00D3357F">
        <w:t xml:space="preserve"> pois</w:t>
      </w:r>
      <w:proofErr w:type="gramEnd"/>
      <w:r w:rsidR="004D6147" w:rsidRPr="00D3357F">
        <w:t xml:space="preserve"> “a matéria em apreço longe está de ser entendimento jurisprudencial consensual, sendo inclusive objeto do Pedido de Uniformização de Interpretação de Lei nº 60-RN”.</w:t>
      </w:r>
    </w:p>
    <w:p w:rsidR="001E53A1" w:rsidRPr="001E53A1" w:rsidRDefault="001E53A1" w:rsidP="001E53A1">
      <w:pPr>
        <w:pStyle w:val="Corpodetexto"/>
        <w:spacing w:line="360" w:lineRule="auto"/>
        <w:ind w:firstLine="709"/>
        <w:jc w:val="both"/>
      </w:pPr>
      <w:r w:rsidRPr="001E53A1">
        <w:t>Os autos foram sobrestados para aguardar solução dos tribunais superiores. Nessa linha, acerca da matéria, houve o julgamento pelo Superior Tribunal de Justiça no PUIL 60, pelo Supremo Tribunal Federal pelo Tema 1061, ARE 1208032.</w:t>
      </w:r>
    </w:p>
    <w:p w:rsidR="00305B62" w:rsidRDefault="006C1694" w:rsidP="000D5D0A">
      <w:pPr>
        <w:pStyle w:val="Corpodetexto"/>
        <w:spacing w:line="360" w:lineRule="auto"/>
        <w:ind w:firstLine="709"/>
        <w:jc w:val="both"/>
      </w:pPr>
      <w:r w:rsidRPr="001E53A1">
        <w:lastRenderedPageBreak/>
        <w:t>As contrarrazões foram apresentadas.</w:t>
      </w:r>
    </w:p>
    <w:p w:rsidR="000D5D0A" w:rsidRDefault="00125331" w:rsidP="000D5D0A">
      <w:pPr>
        <w:pStyle w:val="Corpodetexto"/>
        <w:spacing w:line="360" w:lineRule="auto"/>
        <w:ind w:firstLine="709"/>
        <w:jc w:val="both"/>
        <w:rPr>
          <w:b/>
          <w:bCs/>
        </w:rPr>
      </w:pPr>
      <w:r w:rsidRPr="00914A0D">
        <w:t xml:space="preserve">É o relatório. </w:t>
      </w:r>
      <w:r>
        <w:rPr>
          <w:b/>
          <w:bCs/>
        </w:rPr>
        <w:t>VOTO</w:t>
      </w:r>
      <w:r w:rsidRPr="00914A0D">
        <w:rPr>
          <w:b/>
          <w:bCs/>
        </w:rPr>
        <w:t>.</w:t>
      </w:r>
      <w:r w:rsidR="000D5D0A">
        <w:rPr>
          <w:b/>
          <w:bCs/>
        </w:rPr>
        <w:br w:type="page"/>
      </w:r>
    </w:p>
    <w:p w:rsidR="002D120E" w:rsidRDefault="004B25DC" w:rsidP="002D120E">
      <w:pPr>
        <w:pStyle w:val="Ttulo6"/>
        <w:jc w:val="center"/>
        <w:rPr>
          <w:rFonts w:cs="Times New Roman"/>
          <w:sz w:val="24"/>
          <w:szCs w:val="24"/>
          <w:u w:val="single"/>
        </w:rPr>
      </w:pPr>
      <w:r>
        <w:rPr>
          <w:rFonts w:cs="Times New Roman"/>
          <w:sz w:val="24"/>
          <w:szCs w:val="24"/>
          <w:u w:val="single"/>
        </w:rPr>
        <w:lastRenderedPageBreak/>
        <w:t>VOTO</w:t>
      </w:r>
    </w:p>
    <w:p w:rsidR="00374EBD" w:rsidRPr="00374EBD" w:rsidRDefault="00374EBD" w:rsidP="00374EBD">
      <w:pPr>
        <w:pStyle w:val="Corpodetexto"/>
      </w:pPr>
    </w:p>
    <w:p w:rsidR="006C1694" w:rsidRDefault="00690E5D" w:rsidP="00914A0D">
      <w:pPr>
        <w:pStyle w:val="Corpodetexto"/>
        <w:spacing w:line="360" w:lineRule="auto"/>
        <w:ind w:firstLine="709"/>
        <w:jc w:val="both"/>
      </w:pPr>
      <w:r>
        <w:t>Presentes os pressupostos de admissibilidade recursais.</w:t>
      </w:r>
    </w:p>
    <w:p w:rsidR="00283022" w:rsidRDefault="00690E5D" w:rsidP="00914A0D">
      <w:pPr>
        <w:pStyle w:val="Corpodetexto"/>
        <w:spacing w:line="360" w:lineRule="auto"/>
        <w:ind w:firstLine="709"/>
        <w:jc w:val="both"/>
      </w:pPr>
      <w:r>
        <w:t xml:space="preserve">No mérito, a decisão agravada não merece reforma, pois </w:t>
      </w:r>
      <w:r w:rsidR="009C2D7E">
        <w:t xml:space="preserve">os fundamentos estão de acordo com o entendimento firmado no julgamento do Tema 1061 do STF, </w:t>
      </w:r>
      <w:r w:rsidR="00283022">
        <w:t>no sentido de que: “</w:t>
      </w:r>
      <w:r w:rsidR="00283022" w:rsidRPr="00633133">
        <w:rPr>
          <w:i/>
        </w:rPr>
        <w:t>A concessão, por decisão judicial, de diferenças salariais relativas a 13,23% a servidores públicos federais, sem o devido amparo legal, viola o teor da Súmula Vinculante nº 37</w:t>
      </w:r>
      <w:r w:rsidR="00283022">
        <w:t xml:space="preserve">”, </w:t>
      </w:r>
      <w:r w:rsidR="00633133">
        <w:t xml:space="preserve">e </w:t>
      </w:r>
      <w:r w:rsidR="00283022">
        <w:t>teve trânsito em julgado em 24/11/2020.</w:t>
      </w:r>
    </w:p>
    <w:p w:rsidR="00633133" w:rsidRDefault="00283022" w:rsidP="00633133">
      <w:pPr>
        <w:pStyle w:val="Corpodetexto"/>
        <w:spacing w:line="360" w:lineRule="auto"/>
        <w:ind w:firstLine="709"/>
        <w:jc w:val="both"/>
      </w:pPr>
      <w:r>
        <w:t xml:space="preserve">O STJ, de seu lado, aplicou </w:t>
      </w:r>
      <w:r w:rsidR="00633133">
        <w:t xml:space="preserve">esse </w:t>
      </w:r>
      <w:r>
        <w:t>entendimento firmado pela Suprema Corte, com trânsito em julgado e</w:t>
      </w:r>
      <w:r w:rsidR="00633133">
        <w:t>m 27/11/2020, reafirmando:</w:t>
      </w:r>
    </w:p>
    <w:p w:rsidR="00283022" w:rsidRPr="00633133" w:rsidRDefault="00633133" w:rsidP="007C0BF9">
      <w:pPr>
        <w:pStyle w:val="Corpodetexto"/>
        <w:spacing w:line="276" w:lineRule="auto"/>
        <w:ind w:left="1701"/>
        <w:jc w:val="both"/>
        <w:rPr>
          <w:sz w:val="22"/>
          <w:szCs w:val="22"/>
        </w:rPr>
      </w:pPr>
      <w:r w:rsidRPr="00DD31F0">
        <w:rPr>
          <w:sz w:val="22"/>
          <w:szCs w:val="22"/>
        </w:rPr>
        <w:t xml:space="preserve">“PROCESSUAL CIVIL E ADMINISTRATIVO. PEDIDO DE UNIFORMIZAÇÃO DE INTERPRETAÇÃO DE LEI. SERVIDOR PÚBLICO FEDERAL. VANTAGEM PECUNIÁRIA INDIVIDUAL (VPI). LEI N. 10.698/2003. </w:t>
      </w:r>
      <w:r w:rsidRPr="00DD31F0">
        <w:rPr>
          <w:b/>
          <w:sz w:val="22"/>
          <w:szCs w:val="22"/>
        </w:rPr>
        <w:t>REVISÃO GERAL DE VENCIMENTOS</w:t>
      </w:r>
      <w:r w:rsidRPr="00DD31F0">
        <w:rPr>
          <w:sz w:val="22"/>
          <w:szCs w:val="22"/>
        </w:rPr>
        <w:t xml:space="preserve">. NÃO OCORRÊNCIA. EXTENSÃO DE PERCENTUAL A TODOS OS SERVIDORES. IMPOSSIBILIDADE. REGIME DE REMUNERAÇÃO. PRINCÍPIO DA ESTRITA LEGALIDADE. OBSERVÂNCIA. LEIS SUPERVENIENTES. DIREITO </w:t>
      </w:r>
      <w:r w:rsidRPr="00DD31F0">
        <w:rPr>
          <w:b/>
          <w:sz w:val="22"/>
          <w:szCs w:val="22"/>
        </w:rPr>
        <w:t>AO REAJUSTE. RECONHECIMENTO.</w:t>
      </w:r>
      <w:r w:rsidRPr="00DD31F0">
        <w:rPr>
          <w:sz w:val="22"/>
          <w:szCs w:val="22"/>
        </w:rPr>
        <w:t xml:space="preserve"> </w:t>
      </w:r>
      <w:r w:rsidRPr="00DD31F0">
        <w:rPr>
          <w:b/>
          <w:sz w:val="22"/>
          <w:szCs w:val="22"/>
        </w:rPr>
        <w:t>INEXISTÊNCIA</w:t>
      </w:r>
      <w:r w:rsidRPr="00DD31F0">
        <w:rPr>
          <w:sz w:val="22"/>
          <w:szCs w:val="22"/>
        </w:rPr>
        <w:t>. (...)”</w:t>
      </w:r>
      <w:r w:rsidRPr="00633133">
        <w:rPr>
          <w:sz w:val="22"/>
          <w:szCs w:val="22"/>
        </w:rPr>
        <w:t xml:space="preserve"> (PUIL 60/RN, Rel. Ministro GURGEL DE FARIA, PRIMEIRA SEÇÃO, julgado em 11/09/2019, </w:t>
      </w:r>
      <w:proofErr w:type="spellStart"/>
      <w:proofErr w:type="gramStart"/>
      <w:r w:rsidRPr="00633133">
        <w:rPr>
          <w:sz w:val="22"/>
          <w:szCs w:val="22"/>
        </w:rPr>
        <w:t>DJe</w:t>
      </w:r>
      <w:proofErr w:type="spellEnd"/>
      <w:proofErr w:type="gramEnd"/>
      <w:r w:rsidRPr="00633133">
        <w:rPr>
          <w:sz w:val="22"/>
          <w:szCs w:val="22"/>
        </w:rPr>
        <w:t xml:space="preserve"> 11/10/2019)</w:t>
      </w:r>
      <w:r>
        <w:rPr>
          <w:sz w:val="22"/>
          <w:szCs w:val="22"/>
        </w:rPr>
        <w:t xml:space="preserve"> – Destaquei.</w:t>
      </w:r>
    </w:p>
    <w:p w:rsidR="00633133" w:rsidRPr="00633133" w:rsidRDefault="00633133" w:rsidP="007C0BF9">
      <w:pPr>
        <w:pStyle w:val="Corpodetexto"/>
        <w:spacing w:line="276" w:lineRule="auto"/>
        <w:ind w:left="1701"/>
        <w:jc w:val="both"/>
        <w:rPr>
          <w:sz w:val="22"/>
          <w:szCs w:val="22"/>
        </w:rPr>
      </w:pPr>
      <w:r w:rsidRPr="00633133">
        <w:rPr>
          <w:sz w:val="22"/>
          <w:szCs w:val="22"/>
        </w:rPr>
        <w:t>“AGRAVO INTERNO. RECURSO EXTRAORDINÁRIO. ADMINISTRATIVO. SERVIDOR PÚBLICO. LEIS 10.697/2003 E 10.698/2003. REAJUSTE DE 13,23%</w:t>
      </w:r>
      <w:proofErr w:type="gramStart"/>
      <w:r w:rsidRPr="00633133">
        <w:rPr>
          <w:sz w:val="22"/>
          <w:szCs w:val="22"/>
        </w:rPr>
        <w:t>.</w:t>
      </w:r>
      <w:proofErr w:type="gramEnd"/>
      <w:r w:rsidRPr="00633133">
        <w:rPr>
          <w:sz w:val="22"/>
          <w:szCs w:val="22"/>
        </w:rPr>
        <w:t xml:space="preserve">CONCESSÃO PELO PODER JUDICIÁRIO COM FUNDAMENTO NO PRINCÍPIO DA ISONOMIA. REPERCUSSÃO GERAL. TEMA 1061/STF. ACÓRDÃO RECORRIDO EM CONFORMIDADE COM O ENTENDIMENTO DO STF. AGRAVO NÃO PROVIDO. </w:t>
      </w:r>
      <w:r w:rsidRPr="00633133">
        <w:rPr>
          <w:b/>
          <w:sz w:val="22"/>
          <w:szCs w:val="22"/>
        </w:rPr>
        <w:t>1. O Supremo Tribunal Federal, no julgamento do ARE 1.208.032/DF, admitiu repercussão geral na questão da concessão de diferenças salariais relativas a 13,23% a servidor público federal por meio de decisão judicial tendo em vista a instituição da vantagem pecuniária individual (VPI) pela Lei nº 10.698/03, reafirmou a jurisprudência consolidada no Pretório Excelso e fixou a tese de que "A concessão, por decisão judicial, de diferenças salariais relativas a 13,23% a servidores públicos federais, sem o devido amparo legal, viola o teor da Súmula Vinculante nº 37." (Tema 1061).</w:t>
      </w:r>
      <w:r w:rsidRPr="00633133">
        <w:rPr>
          <w:sz w:val="22"/>
          <w:szCs w:val="22"/>
        </w:rPr>
        <w:t xml:space="preserve"> 2. Estando o acórdão recorrido em conformidade com o entendimento da Suprema Corte, imperiosa a negativa de seguimento prevista no art. 1.030, inciso I, alínea "a", do Código de Processo Civil . 3. Agravo interno não provido.” </w:t>
      </w:r>
      <w:r w:rsidRPr="00633133">
        <w:rPr>
          <w:sz w:val="22"/>
          <w:szCs w:val="22"/>
        </w:rPr>
        <w:lastRenderedPageBreak/>
        <w:t>(</w:t>
      </w:r>
      <w:proofErr w:type="spellStart"/>
      <w:r w:rsidRPr="00633133">
        <w:rPr>
          <w:sz w:val="22"/>
          <w:szCs w:val="22"/>
        </w:rPr>
        <w:t>AgInt</w:t>
      </w:r>
      <w:proofErr w:type="spellEnd"/>
      <w:r w:rsidRPr="00633133">
        <w:rPr>
          <w:sz w:val="22"/>
          <w:szCs w:val="22"/>
        </w:rPr>
        <w:t xml:space="preserve"> no RE nos </w:t>
      </w:r>
      <w:proofErr w:type="spellStart"/>
      <w:r w:rsidRPr="00633133">
        <w:rPr>
          <w:sz w:val="22"/>
          <w:szCs w:val="22"/>
        </w:rPr>
        <w:t>EDcl</w:t>
      </w:r>
      <w:proofErr w:type="spellEnd"/>
      <w:r w:rsidRPr="00633133">
        <w:rPr>
          <w:sz w:val="22"/>
          <w:szCs w:val="22"/>
        </w:rPr>
        <w:t xml:space="preserve"> no PUIL 60/RN, Rel. Ministra MARIA THEREZA DE ASSIS MOURA, CORTE ESPECIAL, julgado em 25/08/2020, </w:t>
      </w:r>
      <w:proofErr w:type="spellStart"/>
      <w:r w:rsidRPr="00633133">
        <w:rPr>
          <w:sz w:val="22"/>
          <w:szCs w:val="22"/>
        </w:rPr>
        <w:t>DJe</w:t>
      </w:r>
      <w:proofErr w:type="spellEnd"/>
      <w:r w:rsidRPr="00633133">
        <w:rPr>
          <w:sz w:val="22"/>
          <w:szCs w:val="22"/>
        </w:rPr>
        <w:t xml:space="preserve"> 28/08/2020)</w:t>
      </w:r>
      <w:r>
        <w:rPr>
          <w:sz w:val="22"/>
          <w:szCs w:val="22"/>
        </w:rPr>
        <w:t xml:space="preserve"> – Destaquei.</w:t>
      </w:r>
    </w:p>
    <w:p w:rsidR="00305B62" w:rsidRDefault="00305B62" w:rsidP="009C2D7E">
      <w:pPr>
        <w:pStyle w:val="Corpodetexto"/>
        <w:spacing w:before="240" w:after="0" w:line="360" w:lineRule="auto"/>
        <w:ind w:firstLine="709"/>
        <w:jc w:val="both"/>
      </w:pPr>
      <w:r>
        <w:t xml:space="preserve">Ademais, recente precedente da Turma Regional de Uniformização confirma a impossibilidade de concessão da diferença relativa aos 13,23%, a título de revisão geral anual, </w:t>
      </w:r>
      <w:r w:rsidR="00053EE8">
        <w:t>por aplicação do teor da súmula vinculante 37. Eis o julgamento em lume</w:t>
      </w:r>
      <w:r>
        <w:t>:</w:t>
      </w:r>
    </w:p>
    <w:p w:rsidR="00305B62" w:rsidRPr="00305B62" w:rsidRDefault="00305B62" w:rsidP="00305B62">
      <w:pPr>
        <w:pStyle w:val="Corpodetexto"/>
        <w:spacing w:before="240" w:line="276" w:lineRule="auto"/>
        <w:ind w:left="1701"/>
        <w:jc w:val="both"/>
        <w:rPr>
          <w:sz w:val="22"/>
          <w:szCs w:val="22"/>
        </w:rPr>
      </w:pPr>
      <w:r w:rsidRPr="00305B62">
        <w:rPr>
          <w:sz w:val="22"/>
          <w:szCs w:val="22"/>
        </w:rPr>
        <w:t xml:space="preserve">“CONSTITUCIONAL E ADMINISTRATIVO. SERVIDOR PÚBLICO. INSTITUIÇÃO DE VANTAGEM PECUNIÁRIA INDIVIDUAL (VPI). LEI N. 10.697/03. REVISÃO GERAL DE REMUNERAÇÃO. NÃO OCORRÊNCIA. LEI N. 10.698/03. DIREITO AO REAJUSTE DE 13,23%. INEXISTÊNCIA. NATUREZA DIVERSA DA REVISÃO GERAL DE REMUNERAÇÃO PREVISTA NO ART. 37, X, DA CONSTITUIÇÃO FEDERAL. PRINCÍPIO DA ESTRITA LEGALIDADE. OBSERVÂNCIA. LEIS SUPERVENIENTES. RECONHECIMENTO. SÚMULA VINCULANTE N. 37 DO SUPREMO TRIBUNAL FEDERAL. CONCESSÃO DE REAJUSTE PELO PODER JUDICIÁRIO COM BASE NO PRINCÍPIO DE ISONOMIA. IMPOSSIBILIDADE. PET. N. 2016/0098765-4 - RN (PUIL TEMA: n. 060/STJ PEDIDO DE UNIFORMIZAÇÃO DE INTERPRETAÇÃO DE LEI). INCIDENTE DE UNIFORMIAZAÇÃO DO IFMG PROVIDO. </w:t>
      </w:r>
      <w:proofErr w:type="gramStart"/>
      <w:r w:rsidRPr="00305B62">
        <w:rPr>
          <w:sz w:val="22"/>
          <w:szCs w:val="22"/>
        </w:rPr>
        <w:t>1</w:t>
      </w:r>
      <w:proofErr w:type="gramEnd"/>
      <w:r w:rsidRPr="00305B62">
        <w:rPr>
          <w:sz w:val="22"/>
          <w:szCs w:val="22"/>
        </w:rPr>
        <w:t xml:space="preserve">. A Lei 10.698/03 instituiu vantagem pecuniária individual, no valor de R$ 59,87, e não revisão geral anual, estabelecendo em seu art. 1º, parágrafo único, que o referido valor "não servirá de base de cálculo para qualquer outra vantagem", não se incorporando, ademais, ao vencimento básico dos servidores sobre o qual incide o reajuste decorrente da revisão geral anual. 2. Somente o percentual de 1% previsto na Lei 10.697/2003 é que possui a natureza jurídica a que alude o art. 37, X, da Constituição Federal. Da simples leitura da legislação indicada, exsurge certo que a revisão geral anual dos servidores públicos federais para o ano de 2003 limitou-se ao índice de 1% previsto na Lei n. 10.697/2003, não havendo como, interpretando a Lei n. 10.698/2003, afirmar que o valor concedido seria, na verdade, reajuste não isonômico disfarçado de vantagem pecuniária individual. 3. A VPI instituída pela Lei n. 10.698/2003 não possui natureza de reajuste geral de vencimentos, sendo inviável sua extensão a todos os servidores, em face do óbice da Súmula Vinculante n.37 do Supremo Tribunal Federal. 4. O regime de remuneração dos servidores públicos rege-se pelo princípio da legalidade estrita, sendo necessária a edição de lei específica para a fixação ou alteração das verbas </w:t>
      </w:r>
      <w:proofErr w:type="gramStart"/>
      <w:r w:rsidRPr="00305B62">
        <w:rPr>
          <w:sz w:val="22"/>
          <w:szCs w:val="22"/>
        </w:rPr>
        <w:t>remuneratórias</w:t>
      </w:r>
      <w:proofErr w:type="gramEnd"/>
      <w:r w:rsidRPr="00305B62">
        <w:rPr>
          <w:sz w:val="22"/>
          <w:szCs w:val="22"/>
        </w:rPr>
        <w:t xml:space="preserve">, sendo essa a determinação do art. 37, X, da Constituição Federal: "A remuneração dos servidores públicos e o subsídio de que trata o § 4º do art. 39 somente poderão ser fixados ou alterados por lei específica, observada a iniciativa privativa em cada caso. 5. A matéria já não comporta maiores digressões, uma vez que com base no artigo 14, § 4º, da Lei n. 10.259/2001, o STJ no julgamento do da Pet. nº 2016/0098765-4 - RN (PUIL tema: nº 060/STJ Pedido de </w:t>
      </w:r>
      <w:r w:rsidRPr="00305B62">
        <w:rPr>
          <w:sz w:val="22"/>
          <w:szCs w:val="22"/>
        </w:rPr>
        <w:lastRenderedPageBreak/>
        <w:t>Uniformização de Interpretação de Lei), transitado em julgado na data de 27/11/2020 e, fixou o entendimento de que a concessão, por decisão judicial, de diferenças salariais relativas a 13,23% a servidores públicos federais, sem o devido amparo legal, viola o teor da Súmula Vinculante n. 37 do Supremo Tribunal Federal. 6. Incidente conhecido e provido. (INCJURIS 0011498-89.2015.4.01.3820, JOSÉ GODINHO FILHO, TRF1 - TURMA REGIONAL DE UNIFORMIZAÇÃO DE JURISPRUDÊNCIA, Diário Eletrônico Publicação 25/06/2021.)”</w:t>
      </w:r>
    </w:p>
    <w:p w:rsidR="009C2D7E" w:rsidRDefault="009C2D7E" w:rsidP="009C2D7E">
      <w:pPr>
        <w:pStyle w:val="Corpodetexto"/>
        <w:spacing w:before="240" w:after="0" w:line="360" w:lineRule="auto"/>
        <w:ind w:firstLine="709"/>
        <w:jc w:val="both"/>
      </w:pPr>
      <w:r w:rsidRPr="00822CEF">
        <w:t xml:space="preserve">Em face ao exposto, </w:t>
      </w:r>
      <w:r w:rsidRPr="00822CEF">
        <w:rPr>
          <w:b/>
        </w:rPr>
        <w:t>NEGO</w:t>
      </w:r>
      <w:r w:rsidRPr="00822CEF">
        <w:t xml:space="preserve"> </w:t>
      </w:r>
      <w:r w:rsidRPr="009C2D7E">
        <w:rPr>
          <w:b/>
        </w:rPr>
        <w:t>SEGUIMENTO</w:t>
      </w:r>
      <w:r w:rsidRPr="009C2D7E">
        <w:t xml:space="preserve"> ao agravo, para</w:t>
      </w:r>
      <w:r>
        <w:t xml:space="preserve"> confirmar a decisão agravada, nos termos do art. 81, I, do Regimento Interno da TRU da Primeira Região, Resolução </w:t>
      </w:r>
      <w:proofErr w:type="spellStart"/>
      <w:r>
        <w:t>Presi</w:t>
      </w:r>
      <w:proofErr w:type="spellEnd"/>
      <w:r>
        <w:t xml:space="preserve"> 33/2021.</w:t>
      </w:r>
    </w:p>
    <w:p w:rsidR="009C2D7E" w:rsidRPr="004B25DC" w:rsidRDefault="009C2D7E" w:rsidP="009C2D7E">
      <w:pPr>
        <w:pStyle w:val="Corpodetexto"/>
        <w:spacing w:before="240" w:after="0" w:line="360" w:lineRule="auto"/>
        <w:jc w:val="both"/>
        <w:rPr>
          <w:rFonts w:eastAsia="Times New Roman"/>
        </w:rPr>
      </w:pPr>
      <w:r w:rsidRPr="007940BF">
        <w:rPr>
          <w:rFonts w:eastAsia="Times New Roman"/>
          <w:b/>
        </w:rPr>
        <w:t>ACÓRDÃO</w:t>
      </w:r>
      <w:r>
        <w:rPr>
          <w:rFonts w:eastAsia="Times New Roman"/>
        </w:rPr>
        <w:t>: A Turma Regional de Uniformização</w:t>
      </w:r>
      <w:r w:rsidR="00BD006A">
        <w:rPr>
          <w:rFonts w:eastAsia="Times New Roman"/>
        </w:rPr>
        <w:t xml:space="preserve"> da Primeira Região</w:t>
      </w:r>
      <w:r>
        <w:rPr>
          <w:rFonts w:eastAsia="Times New Roman"/>
        </w:rPr>
        <w:t xml:space="preserve">, à unanimidade, </w:t>
      </w:r>
      <w:r w:rsidRPr="007940BF">
        <w:rPr>
          <w:rFonts w:eastAsia="Times New Roman"/>
          <w:b/>
        </w:rPr>
        <w:t>NEGA SEGUIMENTO</w:t>
      </w:r>
      <w:r>
        <w:rPr>
          <w:rFonts w:eastAsia="Times New Roman"/>
        </w:rPr>
        <w:t xml:space="preserve"> ao pedido de uniformização, nos termos do voto do relator.</w:t>
      </w:r>
    </w:p>
    <w:p w:rsidR="009C2D7E" w:rsidRDefault="009C2D7E" w:rsidP="009C2D7E">
      <w:pPr>
        <w:pStyle w:val="Corpodetexto"/>
        <w:spacing w:before="240" w:after="0" w:line="360" w:lineRule="auto"/>
        <w:ind w:firstLine="709"/>
        <w:jc w:val="both"/>
        <w:rPr>
          <w:rFonts w:eastAsia="Times New Roman"/>
          <w:b/>
        </w:rPr>
      </w:pPr>
      <w:r w:rsidRPr="00F6617E">
        <w:rPr>
          <w:rFonts w:eastAsia="Times New Roman"/>
          <w:b/>
        </w:rPr>
        <w:t>Intimem-se.</w:t>
      </w:r>
    </w:p>
    <w:p w:rsidR="009C2D7E" w:rsidRPr="00F6617E" w:rsidRDefault="009C2D7E" w:rsidP="009C2D7E">
      <w:pPr>
        <w:pStyle w:val="Corpodetexto"/>
        <w:spacing w:before="240" w:after="0" w:line="360" w:lineRule="auto"/>
        <w:ind w:firstLine="709"/>
        <w:jc w:val="both"/>
      </w:pPr>
      <w:r>
        <w:rPr>
          <w:rFonts w:eastAsia="Times New Roman"/>
        </w:rPr>
        <w:t xml:space="preserve">De </w:t>
      </w:r>
      <w:r w:rsidRPr="00F6617E">
        <w:rPr>
          <w:rFonts w:eastAsia="Times New Roman"/>
        </w:rPr>
        <w:t>Porto Velho/RO</w:t>
      </w:r>
      <w:r>
        <w:rPr>
          <w:rFonts w:eastAsia="Times New Roman"/>
        </w:rPr>
        <w:t xml:space="preserve"> para Brasília-DF</w:t>
      </w:r>
      <w:r w:rsidRPr="00F6617E">
        <w:rPr>
          <w:rFonts w:eastAsia="Times New Roman"/>
        </w:rPr>
        <w:t xml:space="preserve">, </w:t>
      </w:r>
      <w:r>
        <w:rPr>
          <w:rFonts w:eastAsia="Times New Roman"/>
        </w:rPr>
        <w:t>data da assinatura eletrônica</w:t>
      </w:r>
      <w:r w:rsidRPr="00F6617E">
        <w:rPr>
          <w:rFonts w:eastAsia="Times New Roman"/>
        </w:rPr>
        <w:t>.</w:t>
      </w:r>
    </w:p>
    <w:p w:rsidR="009C2D7E" w:rsidRPr="001625FF" w:rsidRDefault="009C2D7E" w:rsidP="009C2D7E">
      <w:pPr>
        <w:suppressAutoHyphens w:val="0"/>
        <w:jc w:val="center"/>
        <w:outlineLvl w:val="7"/>
        <w:rPr>
          <w:rFonts w:eastAsia="Times New Roman"/>
          <w:b/>
          <w:iCs/>
          <w:kern w:val="0"/>
        </w:rPr>
      </w:pPr>
    </w:p>
    <w:p w:rsidR="009C2D7E" w:rsidRPr="00540752" w:rsidRDefault="009C2D7E" w:rsidP="009C2D7E">
      <w:pPr>
        <w:jc w:val="center"/>
        <w:rPr>
          <w:b/>
        </w:rPr>
      </w:pPr>
      <w:r w:rsidRPr="00540752">
        <w:rPr>
          <w:b/>
        </w:rPr>
        <w:t>RICARDO BECKERATH DA SILVA LEITÃO</w:t>
      </w:r>
    </w:p>
    <w:p w:rsidR="009C2D7E" w:rsidRDefault="009C2D7E" w:rsidP="009C2D7E">
      <w:pPr>
        <w:jc w:val="center"/>
      </w:pPr>
      <w:r w:rsidRPr="001625FF">
        <w:t>Juiz Federal</w:t>
      </w:r>
      <w:r>
        <w:t xml:space="preserve"> Relator da Turma Regional de</w:t>
      </w:r>
    </w:p>
    <w:p w:rsidR="009C2D7E" w:rsidRPr="001625FF" w:rsidRDefault="009C2D7E" w:rsidP="009C2D7E">
      <w:pPr>
        <w:jc w:val="center"/>
      </w:pPr>
      <w:r>
        <w:t>Uniformização da Primeira Região</w:t>
      </w:r>
    </w:p>
    <w:sectPr w:rsidR="009C2D7E" w:rsidRPr="001625FF" w:rsidSect="00185D78">
      <w:headerReference w:type="default" r:id="rId9"/>
      <w:pgSz w:w="11906" w:h="16838"/>
      <w:pgMar w:top="3907" w:right="1134" w:bottom="1134" w:left="1134" w:header="1134"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7015" w:rsidRDefault="00377015">
      <w:r>
        <w:separator/>
      </w:r>
    </w:p>
  </w:endnote>
  <w:endnote w:type="continuationSeparator" w:id="0">
    <w:p w:rsidR="00377015" w:rsidRDefault="003770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7015" w:rsidRDefault="00377015">
      <w:r>
        <w:separator/>
      </w:r>
    </w:p>
  </w:footnote>
  <w:footnote w:type="continuationSeparator" w:id="0">
    <w:p w:rsidR="00377015" w:rsidRDefault="0037701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6F74" w:rsidRDefault="00D75BD7">
    <w:pPr>
      <w:pStyle w:val="Cabealho"/>
    </w:pPr>
    <w:r>
      <w:rPr>
        <w:noProof/>
      </w:rPr>
      <w:drawing>
        <wp:anchor distT="0" distB="0" distL="0" distR="0" simplePos="0" relativeHeight="251657728" behindDoc="0" locked="0" layoutInCell="1" allowOverlap="1">
          <wp:simplePos x="0" y="0"/>
          <wp:positionH relativeFrom="column">
            <wp:posOffset>2764155</wp:posOffset>
          </wp:positionH>
          <wp:positionV relativeFrom="paragraph">
            <wp:posOffset>38100</wp:posOffset>
          </wp:positionV>
          <wp:extent cx="603250" cy="595630"/>
          <wp:effectExtent l="19050" t="0" r="6350" b="0"/>
          <wp:wrapTopAndBottom/>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3250" cy="595630"/>
                  </a:xfrm>
                  <a:prstGeom prst="rect">
                    <a:avLst/>
                  </a:prstGeom>
                  <a:solidFill>
                    <a:srgbClr val="FFFFFF"/>
                  </a:solidFill>
                  <a:ln w="9525">
                    <a:noFill/>
                    <a:miter lim="800000"/>
                    <a:headEnd/>
                    <a:tailEnd/>
                  </a:ln>
                </pic:spPr>
              </pic:pic>
            </a:graphicData>
          </a:graphic>
        </wp:anchor>
      </w:drawing>
    </w:r>
  </w:p>
  <w:p w:rsidR="00EF6F74" w:rsidRDefault="00EF6F74">
    <w:pPr>
      <w:pStyle w:val="Cabealho"/>
    </w:pPr>
  </w:p>
  <w:p w:rsidR="00EF6F74" w:rsidRDefault="00EF6F74">
    <w:pPr>
      <w:pStyle w:val="Cabealho"/>
    </w:pPr>
  </w:p>
  <w:p w:rsidR="00EF6F74" w:rsidRDefault="00EF6F74">
    <w:pPr>
      <w:pStyle w:val="Cabealho"/>
    </w:pPr>
  </w:p>
  <w:p w:rsidR="00EF6F74" w:rsidRDefault="00EF6F74">
    <w:pPr>
      <w:jc w:val="center"/>
      <w:rPr>
        <w:sz w:val="20"/>
      </w:rPr>
    </w:pPr>
    <w:r>
      <w:rPr>
        <w:sz w:val="20"/>
      </w:rPr>
      <w:t>PODER JUDICIÁRIO</w:t>
    </w:r>
  </w:p>
  <w:p w:rsidR="00EF6F74" w:rsidRDefault="00EF6F74">
    <w:pPr>
      <w:jc w:val="center"/>
      <w:rPr>
        <w:sz w:val="20"/>
      </w:rPr>
    </w:pPr>
    <w:r>
      <w:rPr>
        <w:b/>
        <w:sz w:val="20"/>
      </w:rPr>
      <w:t>TRIBUNAL REGIONAL FEDERAL DA PRIMEIRA REGIÃO</w:t>
    </w:r>
    <w:r>
      <w:rPr>
        <w:sz w:val="20"/>
      </w:rP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000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o:colormenu v:ext="edit" fillcolor="none [4]" strokecolor="none [1]" shadowcolor="none [2]"/>
    </o:shapedefaults>
  </w:hdrShapeDefaults>
  <w:footnotePr>
    <w:footnote w:id="-1"/>
    <w:footnote w:id="0"/>
  </w:footnotePr>
  <w:endnotePr>
    <w:endnote w:id="-1"/>
    <w:endnote w:id="0"/>
  </w:endnotePr>
  <w:compat>
    <w:spaceForUL/>
    <w:balanceSingleByteDoubleByteWidth/>
    <w:doNotLeaveBackslashAlone/>
    <w:ulTrailSpace/>
    <w:adjustLineHeightInTable/>
  </w:compat>
  <w:rsids>
    <w:rsidRoot w:val="00EE013C"/>
    <w:rsid w:val="000033FB"/>
    <w:rsid w:val="0000645C"/>
    <w:rsid w:val="00011F8F"/>
    <w:rsid w:val="00015EE6"/>
    <w:rsid w:val="00026064"/>
    <w:rsid w:val="000368F6"/>
    <w:rsid w:val="00053EE8"/>
    <w:rsid w:val="00061259"/>
    <w:rsid w:val="00070804"/>
    <w:rsid w:val="000771CD"/>
    <w:rsid w:val="000812FF"/>
    <w:rsid w:val="000858B9"/>
    <w:rsid w:val="00096CBF"/>
    <w:rsid w:val="000A6F93"/>
    <w:rsid w:val="000C2DCB"/>
    <w:rsid w:val="000D1BDD"/>
    <w:rsid w:val="000D5D0A"/>
    <w:rsid w:val="000E126C"/>
    <w:rsid w:val="000E743C"/>
    <w:rsid w:val="000F09AB"/>
    <w:rsid w:val="00101F87"/>
    <w:rsid w:val="00103475"/>
    <w:rsid w:val="001037C4"/>
    <w:rsid w:val="00122844"/>
    <w:rsid w:val="00125331"/>
    <w:rsid w:val="00132FA5"/>
    <w:rsid w:val="00143D4F"/>
    <w:rsid w:val="0015204B"/>
    <w:rsid w:val="00165EAB"/>
    <w:rsid w:val="00173A3C"/>
    <w:rsid w:val="00175272"/>
    <w:rsid w:val="001768C1"/>
    <w:rsid w:val="00182422"/>
    <w:rsid w:val="00185D78"/>
    <w:rsid w:val="00187C4D"/>
    <w:rsid w:val="001E0D4F"/>
    <w:rsid w:val="001E0EA3"/>
    <w:rsid w:val="001E53A1"/>
    <w:rsid w:val="001F603B"/>
    <w:rsid w:val="00212AE6"/>
    <w:rsid w:val="002431DF"/>
    <w:rsid w:val="002522CE"/>
    <w:rsid w:val="00254A77"/>
    <w:rsid w:val="00282A87"/>
    <w:rsid w:val="00283022"/>
    <w:rsid w:val="00290DF8"/>
    <w:rsid w:val="002B2D8E"/>
    <w:rsid w:val="002B4963"/>
    <w:rsid w:val="002C0026"/>
    <w:rsid w:val="002D120E"/>
    <w:rsid w:val="002E02D9"/>
    <w:rsid w:val="002F148E"/>
    <w:rsid w:val="002F709D"/>
    <w:rsid w:val="00302F8D"/>
    <w:rsid w:val="00305B62"/>
    <w:rsid w:val="003246C4"/>
    <w:rsid w:val="00346B96"/>
    <w:rsid w:val="003672DC"/>
    <w:rsid w:val="00374EBD"/>
    <w:rsid w:val="00377015"/>
    <w:rsid w:val="00385A3F"/>
    <w:rsid w:val="0038671E"/>
    <w:rsid w:val="003D4AA5"/>
    <w:rsid w:val="003F42D5"/>
    <w:rsid w:val="00403852"/>
    <w:rsid w:val="00406F51"/>
    <w:rsid w:val="004178DF"/>
    <w:rsid w:val="0042121A"/>
    <w:rsid w:val="00432E2D"/>
    <w:rsid w:val="00452B1A"/>
    <w:rsid w:val="00452D92"/>
    <w:rsid w:val="00456ADE"/>
    <w:rsid w:val="00465CCD"/>
    <w:rsid w:val="00465EBB"/>
    <w:rsid w:val="0047094D"/>
    <w:rsid w:val="004715C5"/>
    <w:rsid w:val="0047569D"/>
    <w:rsid w:val="004A7614"/>
    <w:rsid w:val="004B25DC"/>
    <w:rsid w:val="004D1FEE"/>
    <w:rsid w:val="004D4741"/>
    <w:rsid w:val="004D6147"/>
    <w:rsid w:val="004E05EB"/>
    <w:rsid w:val="004F256A"/>
    <w:rsid w:val="00515DD7"/>
    <w:rsid w:val="00517BC4"/>
    <w:rsid w:val="00557044"/>
    <w:rsid w:val="00560987"/>
    <w:rsid w:val="00562F38"/>
    <w:rsid w:val="00565185"/>
    <w:rsid w:val="005A4249"/>
    <w:rsid w:val="005C238C"/>
    <w:rsid w:val="005C7F23"/>
    <w:rsid w:val="005D7F38"/>
    <w:rsid w:val="005E7282"/>
    <w:rsid w:val="00633133"/>
    <w:rsid w:val="00635ACE"/>
    <w:rsid w:val="00677082"/>
    <w:rsid w:val="00690E5D"/>
    <w:rsid w:val="00692F39"/>
    <w:rsid w:val="006C1694"/>
    <w:rsid w:val="006F1C2B"/>
    <w:rsid w:val="00744556"/>
    <w:rsid w:val="007520C4"/>
    <w:rsid w:val="00772A70"/>
    <w:rsid w:val="007850EC"/>
    <w:rsid w:val="007853E2"/>
    <w:rsid w:val="007940BF"/>
    <w:rsid w:val="007C0BF9"/>
    <w:rsid w:val="007D2D01"/>
    <w:rsid w:val="007D40D4"/>
    <w:rsid w:val="007D41CB"/>
    <w:rsid w:val="007E077D"/>
    <w:rsid w:val="007F1926"/>
    <w:rsid w:val="00836BC1"/>
    <w:rsid w:val="00850E04"/>
    <w:rsid w:val="00860C92"/>
    <w:rsid w:val="00867694"/>
    <w:rsid w:val="00872D55"/>
    <w:rsid w:val="0087462B"/>
    <w:rsid w:val="008C0AA9"/>
    <w:rsid w:val="008C274E"/>
    <w:rsid w:val="008E6160"/>
    <w:rsid w:val="008F69D5"/>
    <w:rsid w:val="009050BF"/>
    <w:rsid w:val="00906157"/>
    <w:rsid w:val="00912C1E"/>
    <w:rsid w:val="00914A0D"/>
    <w:rsid w:val="009252C0"/>
    <w:rsid w:val="00944CC1"/>
    <w:rsid w:val="00950CFC"/>
    <w:rsid w:val="00966C7C"/>
    <w:rsid w:val="009714B4"/>
    <w:rsid w:val="0097438B"/>
    <w:rsid w:val="009827C3"/>
    <w:rsid w:val="009A2688"/>
    <w:rsid w:val="009B16FE"/>
    <w:rsid w:val="009C0603"/>
    <w:rsid w:val="009C2D7E"/>
    <w:rsid w:val="00A02F50"/>
    <w:rsid w:val="00A36C17"/>
    <w:rsid w:val="00A4225B"/>
    <w:rsid w:val="00A46445"/>
    <w:rsid w:val="00AA61BB"/>
    <w:rsid w:val="00AA62FA"/>
    <w:rsid w:val="00AD3A8C"/>
    <w:rsid w:val="00AF7DD9"/>
    <w:rsid w:val="00B07F6F"/>
    <w:rsid w:val="00B12525"/>
    <w:rsid w:val="00B13BEE"/>
    <w:rsid w:val="00B20B6B"/>
    <w:rsid w:val="00B33782"/>
    <w:rsid w:val="00B33D47"/>
    <w:rsid w:val="00BA26D3"/>
    <w:rsid w:val="00BA70A8"/>
    <w:rsid w:val="00BC1F81"/>
    <w:rsid w:val="00BC48E1"/>
    <w:rsid w:val="00BD006A"/>
    <w:rsid w:val="00BE11DB"/>
    <w:rsid w:val="00BE3CC0"/>
    <w:rsid w:val="00BF30F4"/>
    <w:rsid w:val="00C133BA"/>
    <w:rsid w:val="00C151E6"/>
    <w:rsid w:val="00C3525F"/>
    <w:rsid w:val="00C541FB"/>
    <w:rsid w:val="00C678B0"/>
    <w:rsid w:val="00C74504"/>
    <w:rsid w:val="00C9255B"/>
    <w:rsid w:val="00C94367"/>
    <w:rsid w:val="00C95CD6"/>
    <w:rsid w:val="00CA087C"/>
    <w:rsid w:val="00CB1EA1"/>
    <w:rsid w:val="00CB257D"/>
    <w:rsid w:val="00CC5FE4"/>
    <w:rsid w:val="00CD3545"/>
    <w:rsid w:val="00CD5490"/>
    <w:rsid w:val="00CD5844"/>
    <w:rsid w:val="00CE2114"/>
    <w:rsid w:val="00CE275E"/>
    <w:rsid w:val="00CE7084"/>
    <w:rsid w:val="00D02EEC"/>
    <w:rsid w:val="00D06167"/>
    <w:rsid w:val="00D2123C"/>
    <w:rsid w:val="00D3357F"/>
    <w:rsid w:val="00D46AFD"/>
    <w:rsid w:val="00D53CBE"/>
    <w:rsid w:val="00D60269"/>
    <w:rsid w:val="00D73122"/>
    <w:rsid w:val="00D7506F"/>
    <w:rsid w:val="00D75BD7"/>
    <w:rsid w:val="00DA43A3"/>
    <w:rsid w:val="00DA5B2C"/>
    <w:rsid w:val="00DB034B"/>
    <w:rsid w:val="00DB64D0"/>
    <w:rsid w:val="00DC147F"/>
    <w:rsid w:val="00DD1DDE"/>
    <w:rsid w:val="00DD268C"/>
    <w:rsid w:val="00DD31F0"/>
    <w:rsid w:val="00DF2706"/>
    <w:rsid w:val="00DF34E0"/>
    <w:rsid w:val="00DF5B73"/>
    <w:rsid w:val="00E15762"/>
    <w:rsid w:val="00E16B0E"/>
    <w:rsid w:val="00E265EC"/>
    <w:rsid w:val="00E42E9B"/>
    <w:rsid w:val="00E47661"/>
    <w:rsid w:val="00E53E43"/>
    <w:rsid w:val="00E57C51"/>
    <w:rsid w:val="00E77247"/>
    <w:rsid w:val="00E853DD"/>
    <w:rsid w:val="00E950E3"/>
    <w:rsid w:val="00EB7178"/>
    <w:rsid w:val="00EC3269"/>
    <w:rsid w:val="00EC646B"/>
    <w:rsid w:val="00ED12F3"/>
    <w:rsid w:val="00EE013C"/>
    <w:rsid w:val="00EE2F06"/>
    <w:rsid w:val="00EF084B"/>
    <w:rsid w:val="00EF6F74"/>
    <w:rsid w:val="00F03C48"/>
    <w:rsid w:val="00F15E3B"/>
    <w:rsid w:val="00F2381D"/>
    <w:rsid w:val="00F3720F"/>
    <w:rsid w:val="00F55784"/>
    <w:rsid w:val="00F65009"/>
    <w:rsid w:val="00F71F51"/>
    <w:rsid w:val="00F73305"/>
    <w:rsid w:val="00FD5873"/>
    <w:rsid w:val="00FF4626"/>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4]" strokecolor="none [1]"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5D78"/>
    <w:pPr>
      <w:widowControl w:val="0"/>
      <w:suppressAutoHyphens/>
    </w:pPr>
    <w:rPr>
      <w:rFonts w:eastAsia="Lucida Sans Unicode"/>
      <w:kern w:val="1"/>
      <w:sz w:val="24"/>
      <w:szCs w:val="24"/>
    </w:rPr>
  </w:style>
  <w:style w:type="paragraph" w:styleId="Ttulo6">
    <w:name w:val="heading 6"/>
    <w:basedOn w:val="Ttulo1"/>
    <w:next w:val="Corpodetexto"/>
    <w:qFormat/>
    <w:rsid w:val="00185D78"/>
    <w:pPr>
      <w:outlineLvl w:val="5"/>
    </w:pPr>
    <w:rPr>
      <w:rFonts w:ascii="Times New Roman" w:eastAsia="Arial Unicode MS" w:hAnsi="Times New Roman"/>
      <w:b/>
      <w:bCs/>
      <w:sz w:val="14"/>
      <w:szCs w:val="14"/>
    </w:rPr>
  </w:style>
  <w:style w:type="paragraph" w:styleId="Ttulo8">
    <w:name w:val="heading 8"/>
    <w:basedOn w:val="Normal"/>
    <w:next w:val="Normal"/>
    <w:link w:val="Ttulo8Char"/>
    <w:uiPriority w:val="9"/>
    <w:semiHidden/>
    <w:unhideWhenUsed/>
    <w:qFormat/>
    <w:rsid w:val="002D120E"/>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epargpadro1">
    <w:name w:val="Fonte parág. padrão1"/>
    <w:rsid w:val="00185D78"/>
  </w:style>
  <w:style w:type="character" w:customStyle="1" w:styleId="Corpodetexto2Char">
    <w:name w:val="Corpo de texto 2 Char"/>
    <w:basedOn w:val="Fontepargpadro1"/>
    <w:rsid w:val="00185D78"/>
    <w:rPr>
      <w:rFonts w:ascii="Book Antiqua" w:eastAsia="Book Antiqua" w:hAnsi="Book Antiqua" w:cs="Book Antiqua"/>
      <w:color w:val="FF0000"/>
      <w:sz w:val="24"/>
      <w:szCs w:val="24"/>
      <w:shd w:val="clear" w:color="auto" w:fill="FFFFFF"/>
    </w:rPr>
  </w:style>
  <w:style w:type="paragraph" w:customStyle="1" w:styleId="Ttulo1">
    <w:name w:val="Título1"/>
    <w:basedOn w:val="Normal"/>
    <w:next w:val="Corpodetexto"/>
    <w:rsid w:val="00185D78"/>
    <w:pPr>
      <w:keepNext/>
      <w:spacing w:before="240" w:after="120"/>
    </w:pPr>
    <w:rPr>
      <w:rFonts w:ascii="Arial" w:hAnsi="Arial" w:cs="Tahoma"/>
      <w:sz w:val="28"/>
      <w:szCs w:val="28"/>
    </w:rPr>
  </w:style>
  <w:style w:type="paragraph" w:styleId="Corpodetexto">
    <w:name w:val="Body Text"/>
    <w:basedOn w:val="Normal"/>
    <w:link w:val="CorpodetextoChar"/>
    <w:rsid w:val="00185D78"/>
    <w:pPr>
      <w:spacing w:after="120"/>
    </w:pPr>
  </w:style>
  <w:style w:type="paragraph" w:styleId="Ttulo">
    <w:name w:val="Title"/>
    <w:basedOn w:val="Ttulo1"/>
    <w:next w:val="Subttulo"/>
    <w:qFormat/>
    <w:rsid w:val="00185D78"/>
  </w:style>
  <w:style w:type="paragraph" w:styleId="Subttulo">
    <w:name w:val="Subtitle"/>
    <w:basedOn w:val="Ttulo1"/>
    <w:next w:val="Corpodetexto"/>
    <w:qFormat/>
    <w:rsid w:val="00185D78"/>
    <w:pPr>
      <w:jc w:val="center"/>
    </w:pPr>
    <w:rPr>
      <w:i/>
      <w:iCs/>
    </w:rPr>
  </w:style>
  <w:style w:type="paragraph" w:styleId="Lista">
    <w:name w:val="List"/>
    <w:basedOn w:val="Corpodetexto"/>
    <w:rsid w:val="00185D78"/>
    <w:rPr>
      <w:rFonts w:cs="Tahoma"/>
    </w:rPr>
  </w:style>
  <w:style w:type="paragraph" w:customStyle="1" w:styleId="Legenda1">
    <w:name w:val="Legenda1"/>
    <w:basedOn w:val="Normal"/>
    <w:rsid w:val="00185D78"/>
    <w:pPr>
      <w:suppressLineNumbers/>
      <w:spacing w:before="120" w:after="120"/>
    </w:pPr>
    <w:rPr>
      <w:rFonts w:cs="Tahoma"/>
      <w:i/>
      <w:iCs/>
    </w:rPr>
  </w:style>
  <w:style w:type="paragraph" w:customStyle="1" w:styleId="ndice">
    <w:name w:val="Índice"/>
    <w:basedOn w:val="Normal"/>
    <w:rsid w:val="00185D78"/>
    <w:pPr>
      <w:suppressLineNumbers/>
    </w:pPr>
    <w:rPr>
      <w:rFonts w:cs="Tahoma"/>
    </w:rPr>
  </w:style>
  <w:style w:type="paragraph" w:styleId="Cabealho">
    <w:name w:val="header"/>
    <w:basedOn w:val="Normal"/>
    <w:rsid w:val="00185D78"/>
    <w:pPr>
      <w:suppressLineNumbers/>
      <w:tabs>
        <w:tab w:val="center" w:pos="4818"/>
        <w:tab w:val="right" w:pos="9637"/>
      </w:tabs>
    </w:pPr>
  </w:style>
  <w:style w:type="paragraph" w:styleId="Rodap">
    <w:name w:val="footer"/>
    <w:basedOn w:val="Normal"/>
    <w:rsid w:val="00185D78"/>
    <w:pPr>
      <w:suppressLineNumbers/>
      <w:tabs>
        <w:tab w:val="center" w:pos="4818"/>
        <w:tab w:val="right" w:pos="9637"/>
      </w:tabs>
    </w:pPr>
  </w:style>
  <w:style w:type="paragraph" w:customStyle="1" w:styleId="Contedodetabela">
    <w:name w:val="Conteúdo de tabela"/>
    <w:basedOn w:val="Normal"/>
    <w:rsid w:val="00185D78"/>
    <w:pPr>
      <w:suppressLineNumbers/>
    </w:pPr>
  </w:style>
  <w:style w:type="paragraph" w:customStyle="1" w:styleId="Ttulodetabela">
    <w:name w:val="Título de tabela"/>
    <w:basedOn w:val="Contedodetabela"/>
    <w:rsid w:val="00185D78"/>
    <w:pPr>
      <w:jc w:val="center"/>
    </w:pPr>
    <w:rPr>
      <w:b/>
      <w:bCs/>
    </w:rPr>
  </w:style>
  <w:style w:type="paragraph" w:customStyle="1" w:styleId="Corpodetexto21">
    <w:name w:val="Corpo de texto 21"/>
    <w:basedOn w:val="Normal"/>
    <w:rsid w:val="00185D78"/>
    <w:pPr>
      <w:spacing w:before="100" w:after="100" w:line="300" w:lineRule="atLeast"/>
      <w:jc w:val="both"/>
    </w:pPr>
    <w:rPr>
      <w:rFonts w:ascii="Book Antiqua" w:eastAsia="Book Antiqua" w:hAnsi="Book Antiqua" w:cs="Book Antiqua"/>
      <w:color w:val="FF0000"/>
      <w:sz w:val="22"/>
      <w:szCs w:val="22"/>
    </w:rPr>
  </w:style>
  <w:style w:type="character" w:customStyle="1" w:styleId="CorpodetextoChar">
    <w:name w:val="Corpo de texto Char"/>
    <w:basedOn w:val="Fontepargpadro"/>
    <w:link w:val="Corpodetexto"/>
    <w:rsid w:val="00D75BD7"/>
    <w:rPr>
      <w:rFonts w:eastAsia="Lucida Sans Unicode"/>
      <w:kern w:val="1"/>
      <w:sz w:val="24"/>
      <w:szCs w:val="24"/>
    </w:rPr>
  </w:style>
  <w:style w:type="character" w:customStyle="1" w:styleId="Ttulo8Char">
    <w:name w:val="Título 8 Char"/>
    <w:basedOn w:val="Fontepargpadro"/>
    <w:link w:val="Ttulo8"/>
    <w:uiPriority w:val="9"/>
    <w:semiHidden/>
    <w:rsid w:val="002D120E"/>
    <w:rPr>
      <w:rFonts w:asciiTheme="majorHAnsi" w:eastAsiaTheme="majorEastAsia" w:hAnsiTheme="majorHAnsi" w:cstheme="majorBidi"/>
      <w:color w:val="404040" w:themeColor="text1" w:themeTint="BF"/>
      <w:kern w:val="1"/>
    </w:rPr>
  </w:style>
  <w:style w:type="paragraph" w:customStyle="1" w:styleId="Identificao">
    <w:name w:val="Identificação"/>
    <w:basedOn w:val="Normal"/>
    <w:rsid w:val="000D5D0A"/>
    <w:pPr>
      <w:widowControl/>
      <w:suppressAutoHyphens w:val="0"/>
      <w:jc w:val="both"/>
    </w:pPr>
    <w:rPr>
      <w:rFonts w:ascii="Arial" w:eastAsia="Times New Roman" w:hAnsi="Arial"/>
      <w:kern w:val="0"/>
      <w:sz w:val="22"/>
    </w:rPr>
  </w:style>
</w:styles>
</file>

<file path=word/webSettings.xml><?xml version="1.0" encoding="utf-8"?>
<w:webSettings xmlns:r="http://schemas.openxmlformats.org/officeDocument/2006/relationships" xmlns:w="http://schemas.openxmlformats.org/wordprocessingml/2006/main">
  <w:divs>
    <w:div w:id="16777662">
      <w:bodyDiv w:val="1"/>
      <w:marLeft w:val="0"/>
      <w:marRight w:val="0"/>
      <w:marTop w:val="0"/>
      <w:marBottom w:val="0"/>
      <w:divBdr>
        <w:top w:val="none" w:sz="0" w:space="0" w:color="auto"/>
        <w:left w:val="none" w:sz="0" w:space="0" w:color="auto"/>
        <w:bottom w:val="none" w:sz="0" w:space="0" w:color="auto"/>
        <w:right w:val="none" w:sz="0" w:space="0" w:color="auto"/>
      </w:divBdr>
      <w:divsChild>
        <w:div w:id="62609564">
          <w:marLeft w:val="0"/>
          <w:marRight w:val="0"/>
          <w:marTop w:val="0"/>
          <w:marBottom w:val="0"/>
          <w:divBdr>
            <w:top w:val="none" w:sz="0" w:space="0" w:color="auto"/>
            <w:left w:val="none" w:sz="0" w:space="0" w:color="auto"/>
            <w:bottom w:val="none" w:sz="0" w:space="0" w:color="auto"/>
            <w:right w:val="none" w:sz="0" w:space="0" w:color="auto"/>
          </w:divBdr>
        </w:div>
      </w:divsChild>
    </w:div>
    <w:div w:id="1349287118">
      <w:bodyDiv w:val="1"/>
      <w:marLeft w:val="0"/>
      <w:marRight w:val="0"/>
      <w:marTop w:val="0"/>
      <w:marBottom w:val="0"/>
      <w:divBdr>
        <w:top w:val="none" w:sz="0" w:space="0" w:color="auto"/>
        <w:left w:val="none" w:sz="0" w:space="0" w:color="auto"/>
        <w:bottom w:val="none" w:sz="0" w:space="0" w:color="auto"/>
        <w:right w:val="none" w:sz="0" w:space="0" w:color="auto"/>
      </w:divBdr>
      <w:divsChild>
        <w:div w:id="408846090">
          <w:marLeft w:val="0"/>
          <w:marRight w:val="0"/>
          <w:marTop w:val="0"/>
          <w:marBottom w:val="0"/>
          <w:divBdr>
            <w:top w:val="none" w:sz="0" w:space="0" w:color="auto"/>
            <w:left w:val="none" w:sz="0" w:space="0" w:color="auto"/>
            <w:bottom w:val="none" w:sz="0" w:space="0" w:color="auto"/>
            <w:right w:val="none" w:sz="0" w:space="0" w:color="auto"/>
          </w:divBdr>
          <w:divsChild>
            <w:div w:id="91193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835900">
      <w:bodyDiv w:val="1"/>
      <w:marLeft w:val="0"/>
      <w:marRight w:val="0"/>
      <w:marTop w:val="0"/>
      <w:marBottom w:val="0"/>
      <w:divBdr>
        <w:top w:val="none" w:sz="0" w:space="0" w:color="auto"/>
        <w:left w:val="none" w:sz="0" w:space="0" w:color="auto"/>
        <w:bottom w:val="none" w:sz="0" w:space="0" w:color="auto"/>
        <w:right w:val="none" w:sz="0" w:space="0" w:color="auto"/>
      </w:divBdr>
      <w:divsChild>
        <w:div w:id="655382980">
          <w:marLeft w:val="0"/>
          <w:marRight w:val="0"/>
          <w:marTop w:val="0"/>
          <w:marBottom w:val="173"/>
          <w:divBdr>
            <w:top w:val="single" w:sz="4" w:space="0" w:color="CCCCCC"/>
            <w:left w:val="single" w:sz="4" w:space="0" w:color="CCCCCC"/>
            <w:bottom w:val="single" w:sz="4" w:space="0" w:color="CCCCCC"/>
            <w:right w:val="single" w:sz="4" w:space="0" w:color="CCCCCC"/>
          </w:divBdr>
          <w:divsChild>
            <w:div w:id="1121143425">
              <w:marLeft w:val="0"/>
              <w:marRight w:val="0"/>
              <w:marTop w:val="0"/>
              <w:marBottom w:val="0"/>
              <w:divBdr>
                <w:top w:val="none" w:sz="0" w:space="0" w:color="auto"/>
                <w:left w:val="none" w:sz="0" w:space="0" w:color="auto"/>
                <w:bottom w:val="none" w:sz="0" w:space="0" w:color="auto"/>
                <w:right w:val="none" w:sz="0" w:space="0" w:color="auto"/>
              </w:divBdr>
            </w:div>
            <w:div w:id="1665163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6E6596DFC27BB2439A0475D56996034A" ma:contentTypeVersion="10" ma:contentTypeDescription="Crie um novo documento." ma:contentTypeScope="" ma:versionID="2bc2900d7fdbbbce8d01c4275ff54649">
  <xsd:schema xmlns:xsd="http://www.w3.org/2001/XMLSchema" xmlns:xs="http://www.w3.org/2001/XMLSchema" xmlns:p="http://schemas.microsoft.com/office/2006/metadata/properties" xmlns:ns2="c55fa160-587b-42d0-b73f-d262b34af509" targetNamespace="http://schemas.microsoft.com/office/2006/metadata/properties" ma:root="true" ma:fieldsID="eb1ba19f81923dbbaf1e626231eb74b5" ns2:_="">
    <xsd:import namespace="c55fa160-587b-42d0-b73f-d262b34af509"/>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5fa160-587b-42d0-b73f-d262b34af5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tatus de liberação" ma:internalName="Status_x0020_de_x0020_libera_x00e7__x00e3_o">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C289E7-AFAD-4C20-9402-813775968991}">
  <ds:schemaRefs>
    <ds:schemaRef ds:uri="http://schemas.microsoft.com/sharepoint/v3/contenttype/forms"/>
  </ds:schemaRefs>
</ds:datastoreItem>
</file>

<file path=customXml/itemProps2.xml><?xml version="1.0" encoding="utf-8"?>
<ds:datastoreItem xmlns:ds="http://schemas.openxmlformats.org/officeDocument/2006/customXml" ds:itemID="{BDCEE7C9-0CD2-4D32-84DE-0D222B6CEE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5fa160-587b-42d0-b73f-d262b34af5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784730-C940-465F-935F-0159A921D1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1213</Words>
  <Characters>6552</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Isadora</dc:creator>
  <cp:lastModifiedBy>tr98403</cp:lastModifiedBy>
  <cp:revision>7</cp:revision>
  <cp:lastPrinted>2018-08-31T18:22:00Z</cp:lastPrinted>
  <dcterms:created xsi:type="dcterms:W3CDTF">2021-10-15T18:24:00Z</dcterms:created>
  <dcterms:modified xsi:type="dcterms:W3CDTF">2022-04-11T13:36:00Z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0x0101006E6596DFC27BB2439A0475D56996034A</vt:lpwstr>
  </property>
</Properties>
</file>