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04B8" w:rsidRDefault="00AA04B8" w:rsidP="00AE7761">
      <w:pPr>
        <w:pStyle w:val="TextosemFormatao"/>
        <w:rPr>
          <w:rFonts w:ascii="Courier New" w:hAnsi="Courier New" w:cs="Courier New"/>
        </w:rPr>
      </w:pPr>
    </w:p>
    <w:p w:rsidR="00AA04B8" w:rsidRPr="00AE7761" w:rsidRDefault="00AA04B8" w:rsidP="00AA04B8">
      <w:pPr>
        <w:pStyle w:val="Identificao"/>
      </w:pPr>
      <w:r w:rsidRPr="00AE7761">
        <w:t>APELAÇÃO CÍVEL  0007484-68.2014.4.01.3700/MA</w:t>
      </w:r>
    </w:p>
    <w:p w:rsidR="00AA04B8" w:rsidRPr="00AE7761" w:rsidRDefault="00AA04B8" w:rsidP="00AA04B8">
      <w:pPr>
        <w:pStyle w:val="Identificao"/>
      </w:pPr>
      <w:r w:rsidRPr="00AE7761">
        <w:t>Processo na Origem: 74846820144013700</w:t>
      </w:r>
    </w:p>
    <w:p w:rsidR="00AA04B8" w:rsidRDefault="00AA04B8" w:rsidP="00AA04B8">
      <w:pPr>
        <w:pStyle w:val="Identificao"/>
      </w:pPr>
    </w:p>
    <w:p w:rsidR="00AA04B8" w:rsidRDefault="00AA04B8" w:rsidP="00AA04B8">
      <w:pPr>
        <w:pStyle w:val="centralizar"/>
      </w:pPr>
      <w:r>
        <w:t>RELATÓRIO</w:t>
      </w:r>
    </w:p>
    <w:p w:rsidR="00AA04B8" w:rsidRDefault="00AA04B8" w:rsidP="00AA04B8">
      <w:pPr>
        <w:pStyle w:val="Pargrafo"/>
        <w:rPr>
          <w:b/>
          <w:sz w:val="21"/>
          <w:szCs w:val="21"/>
        </w:rPr>
      </w:pPr>
      <w:r>
        <w:rPr>
          <w:b/>
          <w:sz w:val="21"/>
          <w:szCs w:val="21"/>
        </w:rPr>
        <w:t>EXMO. SR. DESEMBARGADOR FEDERAL HERCULES FAJOSES (RELATOR):</w:t>
      </w:r>
    </w:p>
    <w:p w:rsidR="00AA04B8" w:rsidRDefault="00AA04B8" w:rsidP="00AA04B8">
      <w:pPr>
        <w:pStyle w:val="Pargrafo"/>
        <w:spacing w:before="60" w:after="60"/>
        <w:rPr>
          <w:rFonts w:cs="Arial"/>
          <w:szCs w:val="22"/>
        </w:rPr>
      </w:pPr>
      <w:r>
        <w:rPr>
          <w:rFonts w:cs="Arial"/>
          <w:szCs w:val="22"/>
        </w:rPr>
        <w:t>Trata-se de apelação interposta pela UNIÃO FEDERAL contra a sentença que julg</w:t>
      </w:r>
      <w:r w:rsidR="005B0939">
        <w:rPr>
          <w:rFonts w:cs="Arial"/>
          <w:szCs w:val="22"/>
        </w:rPr>
        <w:t>ou</w:t>
      </w:r>
      <w:r>
        <w:rPr>
          <w:rFonts w:cs="Arial"/>
          <w:szCs w:val="22"/>
        </w:rPr>
        <w:t xml:space="preserve"> procedente o pedido para declarar a nulidade das cobranças de foro anual e laudêmio, posteriores à EC nº 46/2005, sobre o imóvel dos autores, e impedir a inscrição dos débitos na Dívida Ativa da União e dos seus nomes no CADIN, condenando a ré ao ressarcimento das custas adiantadas e ao pagamento de honorários de advogado no valor de R$ 5.000,00 (mil reais).</w:t>
      </w:r>
    </w:p>
    <w:p w:rsidR="00AA04B8" w:rsidRDefault="00AA04B8" w:rsidP="00AA04B8">
      <w:pPr>
        <w:pStyle w:val="Pargrafo"/>
        <w:spacing w:before="60" w:after="60"/>
        <w:rPr>
          <w:rFonts w:cs="Arial"/>
          <w:szCs w:val="22"/>
        </w:rPr>
      </w:pPr>
      <w:r>
        <w:rPr>
          <w:rFonts w:cs="Arial"/>
          <w:szCs w:val="22"/>
        </w:rPr>
        <w:t>Em suas razões recursais (fls. 158/176), a União defende a constitucionalidade de seu domínio sobre a propriedade da autora, de acordo com a interpretação sistemática da EC nº 46/05 com o art. 20, inciso I, da CF, vez que situadas sobre terrenos de marinha registrados antes da atual Constituição, possuindo, portanto, direito adquirido sobre referidos terrenos. Pede, por fim, redução dos honorários de advogado.</w:t>
      </w:r>
    </w:p>
    <w:p w:rsidR="00AA04B8" w:rsidRDefault="00AA04B8" w:rsidP="00AA04B8">
      <w:pPr>
        <w:pStyle w:val="Pargrafo"/>
        <w:spacing w:before="60" w:after="60"/>
        <w:rPr>
          <w:rFonts w:cs="Arial"/>
          <w:szCs w:val="22"/>
        </w:rPr>
      </w:pPr>
      <w:r>
        <w:rPr>
          <w:rFonts w:cs="Arial"/>
          <w:szCs w:val="22"/>
        </w:rPr>
        <w:t>Contrarrazões apresentadas às fls. 184/204.</w:t>
      </w:r>
    </w:p>
    <w:p w:rsidR="00AA04B8" w:rsidRDefault="00AA04B8" w:rsidP="00AA04B8">
      <w:pPr>
        <w:pStyle w:val="Pargrafo"/>
        <w:spacing w:before="60" w:after="60"/>
        <w:rPr>
          <w:rFonts w:cs="Arial"/>
          <w:szCs w:val="22"/>
        </w:rPr>
      </w:pPr>
      <w:r>
        <w:rPr>
          <w:rFonts w:cs="Arial"/>
          <w:szCs w:val="22"/>
        </w:rPr>
        <w:t>É o Relatório.</w:t>
      </w:r>
    </w:p>
    <w:p w:rsidR="00AA04B8" w:rsidRDefault="00AA04B8" w:rsidP="00AA04B8">
      <w:pPr>
        <w:pStyle w:val="centralizar"/>
      </w:pPr>
      <w:r>
        <w:rPr>
          <w:rFonts w:cs="Arial"/>
          <w:szCs w:val="22"/>
        </w:rPr>
        <w:t>V</w:t>
      </w:r>
      <w:r>
        <w:t>OTO</w:t>
      </w:r>
    </w:p>
    <w:p w:rsidR="00AA04B8" w:rsidRDefault="00AA04B8" w:rsidP="00AA04B8">
      <w:pPr>
        <w:pStyle w:val="Pargrafo"/>
        <w:rPr>
          <w:b/>
          <w:sz w:val="21"/>
          <w:szCs w:val="21"/>
        </w:rPr>
      </w:pPr>
      <w:r>
        <w:rPr>
          <w:b/>
          <w:sz w:val="21"/>
          <w:szCs w:val="21"/>
        </w:rPr>
        <w:t>EXMO. SR. DESEMBARGADOR FEDERAL HERCULES FAJOSES (RELATOR):</w:t>
      </w:r>
    </w:p>
    <w:p w:rsidR="00AE2B96" w:rsidRPr="00B54C6E" w:rsidRDefault="00AE2B96" w:rsidP="00AE2B96">
      <w:pPr>
        <w:pStyle w:val="Pargrafo"/>
        <w:rPr>
          <w:szCs w:val="22"/>
        </w:rPr>
      </w:pPr>
      <w:r w:rsidRPr="00B54C6E">
        <w:t xml:space="preserve">Embora haja posicionamento diverso entre os eminentes julgadores deste egrégio Tribunal entendam que a Emenda Constitucional nº 46/2005, de </w:t>
      </w:r>
      <w:r w:rsidRPr="00B54C6E">
        <w:rPr>
          <w:i/>
          <w:iCs/>
        </w:rPr>
        <w:t>per si</w:t>
      </w:r>
      <w:r w:rsidRPr="00B54C6E">
        <w:t>, retirou as referidas áreas do domínio da União, há – todavia – respeitáveis posições contrárias.</w:t>
      </w:r>
    </w:p>
    <w:p w:rsidR="00AA04B8" w:rsidRDefault="00AA04B8" w:rsidP="00AA04B8">
      <w:pPr>
        <w:pStyle w:val="Pargrafo"/>
        <w:rPr>
          <w:rFonts w:cs="Arial"/>
          <w:i/>
          <w:sz w:val="21"/>
          <w:szCs w:val="21"/>
        </w:rPr>
      </w:pPr>
      <w:r>
        <w:rPr>
          <w:rFonts w:cs="Arial"/>
          <w:szCs w:val="22"/>
        </w:rPr>
        <w:t>A orientação até aqui prevalente tem sido no sentido do voto da Desembargadora Federal MARIA DO CARMO CARDOSO, conforme retrata a ementa abaixo transcrita (EIAC nº 0040877-52.2012.4.01.3700/MA, julgamento ocorrido em 29 de julho de 2015, publicado no e-DJF1 de 30/09/2015), então vencidos os ilustres Desembargadores Federais NOVÉLY VILANOVA E MARCOS AUGUSTO DE SOUSA. Vejamos:</w:t>
      </w:r>
    </w:p>
    <w:p w:rsidR="00AA04B8" w:rsidRDefault="00AA04B8" w:rsidP="00AA04B8">
      <w:pPr>
        <w:pStyle w:val="Pargrafo"/>
        <w:spacing w:before="40" w:after="40"/>
        <w:ind w:left="2268" w:firstLine="0"/>
        <w:rPr>
          <w:rFonts w:cs="Arial"/>
          <w:i/>
          <w:sz w:val="21"/>
          <w:szCs w:val="21"/>
        </w:rPr>
      </w:pPr>
      <w:r>
        <w:rPr>
          <w:rFonts w:cs="Arial"/>
          <w:i/>
          <w:sz w:val="21"/>
          <w:szCs w:val="21"/>
        </w:rPr>
        <w:t>“CONSTITUCIONAL E ADMINISTRATIVO (...).</w:t>
      </w:r>
    </w:p>
    <w:p w:rsidR="00AA04B8" w:rsidRDefault="00AA04B8" w:rsidP="00AA04B8">
      <w:pPr>
        <w:pStyle w:val="Pargrafo"/>
        <w:spacing w:before="40" w:after="40"/>
        <w:ind w:left="2268" w:firstLine="0"/>
        <w:rPr>
          <w:rFonts w:cs="Arial"/>
          <w:i/>
          <w:sz w:val="21"/>
          <w:szCs w:val="21"/>
        </w:rPr>
      </w:pPr>
      <w:r>
        <w:rPr>
          <w:rFonts w:cs="Arial"/>
          <w:i/>
          <w:sz w:val="21"/>
          <w:szCs w:val="21"/>
        </w:rPr>
        <w:t>1 - Desde a promulgação da Emenda Constitucional nº 46/2005, todas as ilhas costeiras que contêm sede de município deixaram de pertencer à União. Remanesceram no domínio da União apenas as áreas afetadas ao serviço público federal, as unidades ambientais federais e os terrenos de marinha e acrescidos.</w:t>
      </w:r>
    </w:p>
    <w:p w:rsidR="00AA04B8" w:rsidRDefault="00AA04B8" w:rsidP="00AA04B8">
      <w:pPr>
        <w:pStyle w:val="Pargrafo"/>
        <w:spacing w:before="40" w:after="40"/>
        <w:ind w:left="2268" w:firstLine="0"/>
        <w:rPr>
          <w:rFonts w:cs="Arial"/>
          <w:i/>
          <w:sz w:val="21"/>
          <w:szCs w:val="21"/>
        </w:rPr>
      </w:pPr>
      <w:r>
        <w:rPr>
          <w:rFonts w:cs="Arial"/>
          <w:i/>
          <w:sz w:val="21"/>
          <w:szCs w:val="21"/>
        </w:rPr>
        <w:t>2 –Diante da nova ordem constitucional, que estabeleceu critério político-territorial definidor do domínio das ilhas costeiras, este Tribunal tem definido a impossibilidade da cobrança, pela União, de taxa de ocupação e de laudêmio. (...).</w:t>
      </w:r>
    </w:p>
    <w:p w:rsidR="00AA04B8" w:rsidRDefault="00AA04B8" w:rsidP="00AA04B8">
      <w:pPr>
        <w:pStyle w:val="Pargrafo"/>
        <w:spacing w:before="40" w:after="40"/>
        <w:ind w:left="2268" w:firstLine="0"/>
        <w:rPr>
          <w:rFonts w:cs="Arial"/>
          <w:i/>
          <w:sz w:val="21"/>
          <w:szCs w:val="21"/>
        </w:rPr>
      </w:pPr>
      <w:r>
        <w:rPr>
          <w:rFonts w:cs="Arial"/>
          <w:i/>
          <w:sz w:val="21"/>
          <w:szCs w:val="21"/>
        </w:rPr>
        <w:t xml:space="preserve">3 – Os Decretos Presidenciais nº 66.227/1970 e nº 71.206/1972 – que autorizaram a cessão da gleba do Rio Anil ao Estado do Maranhão sob regime de aforamento -, não asseguram à União a propriedade das referidas terras, porquanto foram editados em afronta à Constituição de 1967, vigente na </w:t>
      </w:r>
      <w:r>
        <w:rPr>
          <w:rFonts w:cs="Arial"/>
          <w:i/>
          <w:sz w:val="21"/>
          <w:szCs w:val="21"/>
        </w:rPr>
        <w:lastRenderedPageBreak/>
        <w:t>época, que não atribuiu ao ente federativo central a propriedade das ilhas costeiras.(...)”</w:t>
      </w:r>
    </w:p>
    <w:p w:rsidR="00AA04B8" w:rsidRDefault="00AA04B8" w:rsidP="00AA04B8">
      <w:pPr>
        <w:pStyle w:val="Pargrafo"/>
        <w:spacing w:before="40" w:after="40"/>
        <w:ind w:left="2268" w:firstLine="0"/>
        <w:rPr>
          <w:rFonts w:cs="Arial"/>
          <w:i/>
          <w:sz w:val="21"/>
          <w:szCs w:val="21"/>
        </w:rPr>
      </w:pPr>
      <w:r>
        <w:rPr>
          <w:rFonts w:cs="Arial"/>
          <w:i/>
          <w:sz w:val="21"/>
          <w:szCs w:val="21"/>
        </w:rPr>
        <w:t>.........................................................................................................................</w:t>
      </w:r>
    </w:p>
    <w:p w:rsidR="00AA04B8" w:rsidRDefault="00AA04B8" w:rsidP="00AA04B8">
      <w:pPr>
        <w:pStyle w:val="Pargrafo"/>
        <w:spacing w:before="40" w:after="40"/>
        <w:ind w:left="2268" w:firstLine="0"/>
        <w:rPr>
          <w:rFonts w:cs="Arial"/>
          <w:i/>
          <w:sz w:val="21"/>
          <w:szCs w:val="21"/>
        </w:rPr>
      </w:pPr>
      <w:r>
        <w:rPr>
          <w:rFonts w:cs="Arial"/>
          <w:i/>
          <w:sz w:val="21"/>
          <w:szCs w:val="21"/>
        </w:rPr>
        <w:t>7. Embargos infringentes do autor a que se dá provimento.”</w:t>
      </w:r>
    </w:p>
    <w:p w:rsidR="00AA04B8" w:rsidRDefault="00AA04B8" w:rsidP="00AA04B8">
      <w:pPr>
        <w:pStyle w:val="Pargrafo"/>
        <w:rPr>
          <w:rFonts w:cs="Arial"/>
        </w:rPr>
      </w:pPr>
      <w:r>
        <w:rPr>
          <w:rFonts w:cs="Arial"/>
        </w:rPr>
        <w:t>A Constituição Federal de 1988 estabeleceu que:</w:t>
      </w:r>
    </w:p>
    <w:p w:rsidR="00AA04B8" w:rsidRDefault="00AA04B8" w:rsidP="00AA04B8">
      <w:pPr>
        <w:pStyle w:val="Pargrafo"/>
        <w:spacing w:before="20" w:after="20"/>
        <w:ind w:left="2268" w:firstLine="0"/>
        <w:rPr>
          <w:rFonts w:cs="Arial"/>
          <w:i/>
        </w:rPr>
      </w:pPr>
      <w:r>
        <w:rPr>
          <w:rFonts w:cs="Arial"/>
          <w:i/>
        </w:rPr>
        <w:t>“Art. 20. São bens da União:</w:t>
      </w:r>
    </w:p>
    <w:p w:rsidR="00AA04B8" w:rsidRDefault="00AA04B8" w:rsidP="00AA04B8">
      <w:pPr>
        <w:pStyle w:val="Pargrafo"/>
        <w:spacing w:before="20" w:after="20"/>
        <w:ind w:left="2268" w:firstLine="0"/>
        <w:rPr>
          <w:rFonts w:cs="Arial"/>
          <w:i/>
        </w:rPr>
      </w:pPr>
      <w:r>
        <w:rPr>
          <w:rFonts w:cs="Arial"/>
          <w:i/>
        </w:rPr>
        <w:t>........................................................................................................................</w:t>
      </w:r>
    </w:p>
    <w:p w:rsidR="00AA04B8" w:rsidRDefault="00AA04B8" w:rsidP="00AA04B8">
      <w:pPr>
        <w:pStyle w:val="Pargrafo"/>
        <w:pBdr>
          <w:bottom w:val="single" w:sz="6" w:space="1" w:color="auto"/>
        </w:pBdr>
        <w:spacing w:before="20" w:after="20"/>
        <w:ind w:left="2268" w:firstLine="0"/>
        <w:rPr>
          <w:rFonts w:cs="Arial"/>
          <w:b/>
        </w:rPr>
      </w:pPr>
      <w:r>
        <w:rPr>
          <w:rFonts w:cs="Arial"/>
          <w:i/>
        </w:rPr>
        <w:t>IV – (...) as ilhas oceânicas e as costeiras</w:t>
      </w:r>
      <w:r>
        <w:rPr>
          <w:rFonts w:cs="Arial"/>
          <w:b/>
          <w:i/>
          <w:sz w:val="24"/>
          <w:u w:val="single"/>
        </w:rPr>
        <w:t>, excluídas, destas, as que contenham a sede de Municípios</w:t>
      </w:r>
      <w:r>
        <w:rPr>
          <w:rFonts w:cs="Arial"/>
          <w:b/>
          <w:i/>
          <w:u w:val="single"/>
        </w:rPr>
        <w:t>, exceto aquelas áreas afetadas ao serviço público e a unidade ambiental federal,</w:t>
      </w:r>
      <w:r>
        <w:rPr>
          <w:rFonts w:cs="Arial"/>
          <w:i/>
        </w:rPr>
        <w:t xml:space="preserve"> e as referidas no art. 26, II; </w:t>
      </w:r>
      <w:r>
        <w:rPr>
          <w:rFonts w:cs="Arial"/>
          <w:b/>
        </w:rPr>
        <w:t>(o trecho negritado e sublinhado foi introduzido pela EC nº 46, de 05 de maio de 2005)</w:t>
      </w:r>
    </w:p>
    <w:p w:rsidR="00AA04B8" w:rsidRDefault="00AA04B8" w:rsidP="00AA04B8">
      <w:pPr>
        <w:pStyle w:val="Pargrafo"/>
        <w:rPr>
          <w:rFonts w:cs="Arial"/>
          <w:szCs w:val="22"/>
        </w:rPr>
      </w:pPr>
      <w:r>
        <w:rPr>
          <w:rFonts w:cs="Arial"/>
          <w:szCs w:val="22"/>
        </w:rPr>
        <w:t>Ademais, resta inaplicável ao presente caso o disposto no inciso I do art. 20 da Constitucional Federal como permissivo hábil à conclusão de que as áreas ora em exame estão no rol de bens de domínio da União, vez que o inciso IV do art. 20 visa normatizar pela via constitucional o domínio das ilhas costeiras e oceânicas que estariam a sede de</w:t>
      </w:r>
      <w:r>
        <w:rPr>
          <w:rFonts w:cs="Arial"/>
          <w:b/>
          <w:szCs w:val="22"/>
        </w:rPr>
        <w:t xml:space="preserve"> </w:t>
      </w:r>
      <w:r>
        <w:rPr>
          <w:rFonts w:cs="Arial"/>
          <w:szCs w:val="22"/>
        </w:rPr>
        <w:t>Municípios, e “</w:t>
      </w:r>
      <w:r>
        <w:rPr>
          <w:rFonts w:cs="Arial"/>
          <w:i/>
          <w:szCs w:val="22"/>
        </w:rPr>
        <w:t>a lei (...) não contém palavras inúteis</w:t>
      </w:r>
      <w:r>
        <w:rPr>
          <w:rFonts w:cs="Arial"/>
          <w:szCs w:val="22"/>
        </w:rPr>
        <w:t>”, conforme destacado no RE nº 716.270/RS, Rel. Min. CARMEN LÚCIA, DJ-e 14/12/2012.</w:t>
      </w:r>
    </w:p>
    <w:p w:rsidR="00AA04B8" w:rsidRDefault="00AA04B8" w:rsidP="00AA04B8">
      <w:pPr>
        <w:pStyle w:val="Pargrafo"/>
        <w:rPr>
          <w:rFonts w:cs="Arial"/>
          <w:szCs w:val="22"/>
        </w:rPr>
      </w:pPr>
      <w:r>
        <w:rPr>
          <w:rFonts w:cs="Arial"/>
          <w:szCs w:val="22"/>
        </w:rPr>
        <w:t>Convém lembrar que o tema em análise encontra-se pendente de julgamento pelo egrégio Supremo Tribunal Federal, sob o rito da repercussão geral a que alude o art. 543-B do Código de Processo Civil</w:t>
      </w:r>
      <w:r w:rsidR="00AE2B96">
        <w:rPr>
          <w:rFonts w:cs="Arial"/>
          <w:szCs w:val="22"/>
        </w:rPr>
        <w:t>/1973</w:t>
      </w:r>
      <w:r>
        <w:rPr>
          <w:rFonts w:cs="Arial"/>
          <w:szCs w:val="22"/>
        </w:rPr>
        <w:t xml:space="preserve"> (RG-RE nº 636.199/ES), o que, todavia, não impede a solução da lide “</w:t>
      </w:r>
      <w:r>
        <w:rPr>
          <w:rFonts w:cs="Arial"/>
          <w:i/>
          <w:szCs w:val="22"/>
        </w:rPr>
        <w:t>si et in quantum</w:t>
      </w:r>
      <w:r>
        <w:rPr>
          <w:rFonts w:cs="Arial"/>
          <w:szCs w:val="22"/>
        </w:rPr>
        <w:t>”, na linha da jurisprudência dominante desta 4ª Seção.</w:t>
      </w:r>
    </w:p>
    <w:p w:rsidR="00AA04B8" w:rsidRDefault="00AA04B8" w:rsidP="00AA04B8">
      <w:pPr>
        <w:pStyle w:val="Pargrafo"/>
        <w:rPr>
          <w:rFonts w:cs="Arial"/>
          <w:szCs w:val="22"/>
        </w:rPr>
      </w:pPr>
      <w:r>
        <w:rPr>
          <w:rFonts w:cs="Arial"/>
          <w:szCs w:val="22"/>
        </w:rPr>
        <w:t xml:space="preserve">Da leitura da redação do Inciso IV do art. 20 da Constituição Federal de 1988 (EC nº 46/2005), que é </w:t>
      </w:r>
      <w:r>
        <w:rPr>
          <w:rFonts w:cs="Arial"/>
          <w:b/>
          <w:szCs w:val="22"/>
        </w:rPr>
        <w:t>norma de eficácia plena</w:t>
      </w:r>
      <w:r>
        <w:rPr>
          <w:rFonts w:cs="Arial"/>
          <w:szCs w:val="22"/>
        </w:rPr>
        <w:t>, e, à vista do reconhecimento da existência de repercussão geral a ensejar a interpretação do citado dispositivo, após a Emenda Constitucional nº 46, observo que, neste momento resta afastada a possibilidade de discussão quanto à verificação da cadeia dominial, na medida em que a Emenda Constitucional elegeu apenas um fator de “</w:t>
      </w:r>
      <w:r>
        <w:rPr>
          <w:rFonts w:cs="Arial"/>
          <w:b/>
          <w:i/>
          <w:szCs w:val="22"/>
        </w:rPr>
        <w:t>discriminem</w:t>
      </w:r>
      <w:r>
        <w:rPr>
          <w:rFonts w:cs="Arial"/>
          <w:szCs w:val="22"/>
        </w:rPr>
        <w:t>” para a exclusão das “</w:t>
      </w:r>
      <w:r>
        <w:rPr>
          <w:rFonts w:cs="Arial"/>
          <w:i/>
          <w:szCs w:val="22"/>
        </w:rPr>
        <w:t>ilhas oceânicas e costeiras</w:t>
      </w:r>
      <w:r>
        <w:rPr>
          <w:rFonts w:cs="Arial"/>
          <w:szCs w:val="22"/>
        </w:rPr>
        <w:t>” do rol de bens da União: que se tratem de áreas insulares “</w:t>
      </w:r>
      <w:r>
        <w:rPr>
          <w:rFonts w:cs="Arial"/>
          <w:b/>
          <w:i/>
          <w:szCs w:val="22"/>
        </w:rPr>
        <w:t>que contenham sede de Municípios</w:t>
      </w:r>
      <w:r>
        <w:rPr>
          <w:rFonts w:cs="Arial"/>
          <w:szCs w:val="22"/>
        </w:rPr>
        <w:t>”, o que no presente caso é notório e incontroverso.</w:t>
      </w:r>
    </w:p>
    <w:p w:rsidR="00AA04B8" w:rsidRDefault="00AA04B8" w:rsidP="00AA04B8">
      <w:pPr>
        <w:pStyle w:val="Pargrafo"/>
        <w:rPr>
          <w:rFonts w:cs="Arial"/>
          <w:szCs w:val="22"/>
        </w:rPr>
      </w:pPr>
      <w:r>
        <w:rPr>
          <w:rFonts w:cs="Arial"/>
          <w:szCs w:val="22"/>
        </w:rPr>
        <w:t xml:space="preserve">Desse modo, consequentemente, resta inviabilizada a pretensão da </w:t>
      </w:r>
      <w:r>
        <w:rPr>
          <w:rFonts w:cs="Arial"/>
          <w:caps/>
          <w:szCs w:val="22"/>
        </w:rPr>
        <w:t>União</w:t>
      </w:r>
      <w:r>
        <w:rPr>
          <w:rFonts w:cs="Arial"/>
          <w:szCs w:val="22"/>
        </w:rPr>
        <w:t xml:space="preserve"> de obtenção e/ou manutenção do domínio de áreas contidas em ilhas costeiras ou oceânicas que sejam “</w:t>
      </w:r>
      <w:r>
        <w:rPr>
          <w:rFonts w:cs="Arial"/>
          <w:b/>
          <w:szCs w:val="22"/>
        </w:rPr>
        <w:t>sede de município</w:t>
      </w:r>
      <w:r>
        <w:rPr>
          <w:rFonts w:cs="Arial"/>
          <w:szCs w:val="22"/>
        </w:rPr>
        <w:t>”, a partir da data da modificação constitucional, afastando a legitimidade da cobrança dos pretendidos tributos.</w:t>
      </w:r>
    </w:p>
    <w:p w:rsidR="00AA04B8" w:rsidRDefault="00AA04B8" w:rsidP="00AA04B8">
      <w:pPr>
        <w:pStyle w:val="Pargrafo"/>
        <w:rPr>
          <w:rFonts w:cs="Arial"/>
          <w:szCs w:val="22"/>
        </w:rPr>
      </w:pPr>
      <w:r>
        <w:rPr>
          <w:rFonts w:cs="Arial"/>
          <w:szCs w:val="22"/>
        </w:rPr>
        <w:t>Quanto à demarcação/delimitação dos terrenos de marinha (não interiores), a “</w:t>
      </w:r>
      <w:r>
        <w:rPr>
          <w:rFonts w:cs="Arial"/>
          <w:i/>
          <w:szCs w:val="22"/>
        </w:rPr>
        <w:t xml:space="preserve">definição da linha preamar média de </w:t>
      </w:r>
      <w:smartTag w:uri="urn:schemas-microsoft-com:office:smarttags" w:element="metricconverter">
        <w:smartTagPr>
          <w:attr w:name="ProductID" w:val="1831”"/>
        </w:smartTagPr>
        <w:r>
          <w:rPr>
            <w:rFonts w:cs="Arial"/>
            <w:i/>
            <w:szCs w:val="22"/>
          </w:rPr>
          <w:t>1831</w:t>
        </w:r>
        <w:r>
          <w:rPr>
            <w:rFonts w:cs="Arial"/>
            <w:szCs w:val="22"/>
          </w:rPr>
          <w:t>”</w:t>
        </w:r>
      </w:smartTag>
      <w:r>
        <w:rPr>
          <w:rFonts w:cs="Arial"/>
          <w:szCs w:val="22"/>
        </w:rPr>
        <w:t xml:space="preserve"> (ponderação das marés máximas), sem a notificação pessoal dos interessados, caracteriza afronta aos princípios do contraditório e da ampla defesa, consoante precedentes da 7ª Turma desta Corte (AG nº 0074617-77.2011.4.01.0000/MA, Rel. Des. Fed. LUCIANO TOLENTINO AMARAL):</w:t>
      </w:r>
    </w:p>
    <w:p w:rsidR="00AA04B8" w:rsidRDefault="00AA04B8" w:rsidP="00AA04B8">
      <w:pPr>
        <w:pStyle w:val="Pargrafo"/>
        <w:ind w:left="1701" w:firstLine="0"/>
        <w:rPr>
          <w:rFonts w:cs="Arial"/>
          <w:i/>
          <w:szCs w:val="22"/>
        </w:rPr>
      </w:pPr>
      <w:r>
        <w:rPr>
          <w:rFonts w:cs="Arial"/>
          <w:i/>
          <w:szCs w:val="22"/>
        </w:rPr>
        <w:t xml:space="preserve"> "O STF (...) entendeu atentatória aos princípios do contraditório e ampla defesa, nos procedimentos demarcatórios de terrenos de marinha, a convocação dos interessados por edital da forma como permitia o art. 11 do DL n. 9.760/46, na redação dada pela Lei n. 11.481/2007, suspendendo a novel legislação".</w:t>
      </w:r>
    </w:p>
    <w:p w:rsidR="00AA04B8" w:rsidRDefault="00AA04B8" w:rsidP="00AA04B8">
      <w:pPr>
        <w:pStyle w:val="Pargrafo"/>
      </w:pPr>
      <w:r>
        <w:rPr>
          <w:color w:val="000000"/>
          <w:szCs w:val="22"/>
        </w:rPr>
        <w:t>No que tange aos honorários advocatícios, t</w:t>
      </w:r>
      <w:r>
        <w:t>enho firmado entendimento no sentido de que tal verba tem característica complementar aos honorários contratuais, haja vista sua natureza remuneratória.</w:t>
      </w:r>
    </w:p>
    <w:p w:rsidR="00AA04B8" w:rsidRDefault="00AA04B8" w:rsidP="00AA04B8">
      <w:pPr>
        <w:pStyle w:val="Pargrafo"/>
      </w:pPr>
      <w:r>
        <w:t>Ademais, entendo que a responsabilidade do advogado não tem relação direta com o valor atribuído à causa, vez que o denodo na prestação dos serviços há de ser o mesmo para quaisquer casos.</w:t>
      </w:r>
    </w:p>
    <w:p w:rsidR="00ED69CD" w:rsidRPr="00ED69CD" w:rsidRDefault="00ED69CD" w:rsidP="00ED69CD">
      <w:pPr>
        <w:pStyle w:val="Pargrafo"/>
      </w:pPr>
      <w:r w:rsidRPr="00ED69CD">
        <w:t xml:space="preserve">No entanto, a fixação dos honorários advocatícios sucumbenciais levada a efeito pelo Juízo sentenciante não guarda observância aos princípios da razoabilidade e da equidade, razão pela qual devem ser reduzidos, considerando-se o previsto nos incisos I a V do § 3º c/c </w:t>
      </w:r>
      <w:r w:rsidRPr="00ED69CD">
        <w:lastRenderedPageBreak/>
        <w:t>inciso II do § 4º, todos do art. 85 do NCPC, cujo montante deverá ser apurado no momento processual oportuno.</w:t>
      </w:r>
    </w:p>
    <w:p w:rsidR="00ED69CD" w:rsidRPr="00ED69CD" w:rsidRDefault="00ED69CD" w:rsidP="00ED69CD">
      <w:pPr>
        <w:pStyle w:val="Pargrafo"/>
      </w:pPr>
      <w:r w:rsidRPr="00ED69CD">
        <w:t xml:space="preserve">Ante o exposto, </w:t>
      </w:r>
      <w:r w:rsidRPr="00ED69CD">
        <w:rPr>
          <w:b/>
          <w:bCs/>
        </w:rPr>
        <w:t>dou parcial provimento</w:t>
      </w:r>
      <w:r w:rsidRPr="00ED69CD">
        <w:t xml:space="preserve"> à apelação da parte autora para fixar a verba honorária, conforme delineado na fundamentação.</w:t>
      </w:r>
    </w:p>
    <w:p w:rsidR="00ED69CD" w:rsidRPr="00ED69CD" w:rsidRDefault="00ED69CD" w:rsidP="00ED69CD">
      <w:pPr>
        <w:pStyle w:val="Pargrafo"/>
      </w:pPr>
      <w:r w:rsidRPr="00ED69CD">
        <w:t>É o voto.</w:t>
      </w:r>
    </w:p>
    <w:p w:rsidR="00AA04B8" w:rsidRPr="007A2174" w:rsidRDefault="00AA04B8" w:rsidP="00ED69CD">
      <w:pPr>
        <w:pStyle w:val="Pargrafo"/>
      </w:pPr>
    </w:p>
    <w:sectPr w:rsidR="00AA04B8" w:rsidRPr="007A2174" w:rsidSect="004554A7">
      <w:headerReference w:type="default" r:id="rId7"/>
      <w:footerReference w:type="default" r:id="rId8"/>
      <w:headerReference w:type="first" r:id="rId9"/>
      <w:footerReference w:type="first" r:id="rId10"/>
      <w:pgSz w:w="11907" w:h="16840" w:code="9"/>
      <w:pgMar w:top="850" w:right="850" w:bottom="850" w:left="1417"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04B8" w:rsidRDefault="00AA04B8">
      <w:r>
        <w:separator/>
      </w:r>
    </w:p>
  </w:endnote>
  <w:endnote w:type="continuationSeparator" w:id="0">
    <w:p w:rsidR="00AA04B8" w:rsidRDefault="00AA04B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Interleaved 2of5">
    <w:panose1 w:val="000004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10" w:rsidRDefault="00413610">
    <w:pPr>
      <w:tabs>
        <w:tab w:val="right" w:pos="9360"/>
      </w:tabs>
    </w:pPr>
    <w:r>
      <w:rPr>
        <w:rFonts w:ascii="Arial" w:hAnsi="Arial"/>
        <w:sz w:val="10"/>
      </w:rPr>
      <w:t>TRF 1ª REGIÃO/IMP.15-02-05</w:t>
    </w:r>
    <w:r>
      <w:rPr>
        <w:rFonts w:ascii="Arial" w:hAnsi="Arial"/>
        <w:sz w:val="10"/>
      </w:rPr>
      <w:tab/>
    </w:r>
    <w:r w:rsidR="00976FF6">
      <w:rPr>
        <w:rFonts w:ascii="Arial" w:hAnsi="Arial"/>
        <w:sz w:val="10"/>
      </w:rPr>
      <w:fldChar w:fldCharType="begin"/>
    </w:r>
    <w:r>
      <w:rPr>
        <w:rFonts w:ascii="Arial" w:hAnsi="Arial"/>
        <w:sz w:val="10"/>
      </w:rPr>
      <w:instrText xml:space="preserve"> FILENAME \p </w:instrText>
    </w:r>
    <w:r w:rsidR="00976FF6">
      <w:rPr>
        <w:rFonts w:ascii="Arial" w:hAnsi="Arial"/>
        <w:sz w:val="10"/>
      </w:rPr>
      <w:fldChar w:fldCharType="separate"/>
    </w:r>
    <w:r w:rsidR="00ED69CD">
      <w:rPr>
        <w:rFonts w:ascii="Arial" w:hAnsi="Arial"/>
        <w:noProof/>
        <w:sz w:val="10"/>
      </w:rPr>
      <w:t>W:\SECRETARIA\relatório, voto e ementa\2004\Ap 0007484MA.docx</w:t>
    </w:r>
    <w:r w:rsidR="00976FF6">
      <w:rPr>
        <w:rFonts w:ascii="Arial" w:hAnsi="Arial"/>
        <w:sz w:val="1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10" w:rsidRDefault="00413610">
    <w:pPr>
      <w:tabs>
        <w:tab w:val="right" w:pos="9360"/>
      </w:tabs>
      <w:rPr>
        <w:rFonts w:ascii="Arial" w:hAnsi="Arial"/>
        <w:sz w:val="13"/>
      </w:rPr>
    </w:pPr>
    <w:r>
      <w:rPr>
        <w:rFonts w:ascii="Arial" w:hAnsi="Arial"/>
        <w:sz w:val="10"/>
      </w:rPr>
      <w:t>TRF 1ª REGIÃO/IMP.15-02-05</w:t>
    </w:r>
    <w:r>
      <w:rPr>
        <w:rFonts w:ascii="Arial" w:hAnsi="Arial"/>
        <w:sz w:val="10"/>
      </w:rPr>
      <w:tab/>
    </w:r>
    <w:r w:rsidR="00976FF6">
      <w:rPr>
        <w:rFonts w:ascii="Arial" w:hAnsi="Arial"/>
        <w:sz w:val="13"/>
      </w:rPr>
      <w:fldChar w:fldCharType="begin"/>
    </w:r>
    <w:r>
      <w:rPr>
        <w:rFonts w:ascii="Arial" w:hAnsi="Arial"/>
        <w:sz w:val="13"/>
      </w:rPr>
      <w:instrText xml:space="preserve"> FILENAME \p </w:instrText>
    </w:r>
    <w:r w:rsidR="00976FF6">
      <w:rPr>
        <w:rFonts w:ascii="Arial" w:hAnsi="Arial"/>
        <w:sz w:val="13"/>
      </w:rPr>
      <w:fldChar w:fldCharType="separate"/>
    </w:r>
    <w:r w:rsidR="00ED69CD">
      <w:rPr>
        <w:rFonts w:ascii="Arial" w:hAnsi="Arial"/>
        <w:noProof/>
        <w:sz w:val="13"/>
      </w:rPr>
      <w:t>W:\SECRETARIA\relatório, voto e ementa\2004\Ap 0007484MA.docx</w:t>
    </w:r>
    <w:r w:rsidR="00976FF6">
      <w:rPr>
        <w:rFonts w:ascii="Arial" w:hAnsi="Arial"/>
        <w:sz w:val="13"/>
      </w:rPr>
      <w:fldChar w:fldCharType="end"/>
    </w:r>
  </w:p>
  <w:p w:rsidR="00413610" w:rsidRDefault="00413610">
    <w:pPr>
      <w:tabs>
        <w:tab w:val="right" w:pos="9360"/>
      </w:tabs>
      <w:rPr>
        <w:sz w:val="13"/>
      </w:rPr>
    </w:pPr>
    <w:r>
      <w:rPr>
        <w:rFonts w:ascii="Arial" w:hAnsi="Arial"/>
        <w:sz w:val="13"/>
      </w:rPr>
      <w:t xml:space="preserve">Criado por </w:t>
    </w:r>
    <w:r w:rsidR="00976FF6">
      <w:rPr>
        <w:rFonts w:ascii="Arial" w:hAnsi="Arial"/>
        <w:sz w:val="13"/>
      </w:rPr>
      <w:fldChar w:fldCharType="begin"/>
    </w:r>
    <w:r>
      <w:rPr>
        <w:rFonts w:ascii="Arial" w:hAnsi="Arial"/>
        <w:sz w:val="13"/>
      </w:rPr>
      <w:instrText xml:space="preserve"> AUTHOR </w:instrText>
    </w:r>
    <w:r w:rsidR="00976FF6">
      <w:rPr>
        <w:rFonts w:ascii="Arial" w:hAnsi="Arial"/>
        <w:sz w:val="13"/>
      </w:rPr>
      <w:fldChar w:fldCharType="separate"/>
    </w:r>
    <w:r w:rsidR="00ED69CD">
      <w:rPr>
        <w:rFonts w:ascii="Arial" w:hAnsi="Arial"/>
        <w:noProof/>
        <w:sz w:val="13"/>
      </w:rPr>
      <w:t>tr51903</w:t>
    </w:r>
    <w:r w:rsidR="00976FF6">
      <w:rPr>
        <w:rFonts w:ascii="Arial" w:hAnsi="Arial"/>
        <w:sz w:val="1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04B8" w:rsidRDefault="00AA04B8">
      <w:r>
        <w:separator/>
      </w:r>
    </w:p>
  </w:footnote>
  <w:footnote w:type="continuationSeparator" w:id="0">
    <w:p w:rsidR="00AA04B8" w:rsidRDefault="00AA04B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10" w:rsidRDefault="00413610">
    <w:pPr>
      <w:spacing w:before="120"/>
      <w:rPr>
        <w:rFonts w:ascii="Arial" w:hAnsi="Arial"/>
        <w:sz w:val="16"/>
      </w:rPr>
    </w:pPr>
    <w:r>
      <w:rPr>
        <w:rFonts w:ascii="Arial" w:hAnsi="Arial"/>
        <w:sz w:val="16"/>
      </w:rPr>
      <w:t>PODER JUDICIÁRIO</w:t>
    </w:r>
  </w:p>
  <w:p w:rsidR="00413610" w:rsidRDefault="00413610">
    <w:pPr>
      <w:tabs>
        <w:tab w:val="right" w:pos="9540"/>
      </w:tabs>
      <w:spacing w:after="120"/>
      <w:rPr>
        <w:rFonts w:ascii="Arial" w:hAnsi="Arial" w:cs="Arial"/>
        <w:bCs/>
        <w:sz w:val="16"/>
      </w:rPr>
    </w:pPr>
    <w:r>
      <w:rPr>
        <w:rFonts w:ascii="Arial" w:hAnsi="Arial"/>
        <w:b/>
        <w:sz w:val="20"/>
      </w:rPr>
      <w:t>TRIBUNAL REGIONAL FEDERAL DA PRIMEIRA REGIÃO</w:t>
    </w:r>
    <w:r>
      <w:rPr>
        <w:rFonts w:ascii="Arial" w:hAnsi="Arial"/>
        <w:b/>
        <w:sz w:val="20"/>
      </w:rPr>
      <w:tab/>
    </w:r>
    <w:r>
      <w:rPr>
        <w:rFonts w:ascii="Arial" w:hAnsi="Arial" w:cs="Arial"/>
        <w:bCs/>
        <w:sz w:val="16"/>
      </w:rPr>
      <w:t>fls.</w:t>
    </w:r>
    <w:r w:rsidR="00976FF6">
      <w:rPr>
        <w:rFonts w:ascii="Arial" w:hAnsi="Arial" w:cs="Arial"/>
        <w:bCs/>
        <w:sz w:val="16"/>
      </w:rPr>
      <w:fldChar w:fldCharType="begin"/>
    </w:r>
    <w:r>
      <w:rPr>
        <w:rFonts w:ascii="Arial" w:hAnsi="Arial" w:cs="Arial"/>
        <w:bCs/>
        <w:sz w:val="16"/>
      </w:rPr>
      <w:instrText xml:space="preserve"> PAGE </w:instrText>
    </w:r>
    <w:r w:rsidR="00976FF6">
      <w:rPr>
        <w:rFonts w:ascii="Arial" w:hAnsi="Arial" w:cs="Arial"/>
        <w:bCs/>
        <w:sz w:val="16"/>
      </w:rPr>
      <w:fldChar w:fldCharType="separate"/>
    </w:r>
    <w:r w:rsidR="00AA507F">
      <w:rPr>
        <w:rFonts w:ascii="Arial" w:hAnsi="Arial" w:cs="Arial"/>
        <w:bCs/>
        <w:noProof/>
        <w:sz w:val="16"/>
      </w:rPr>
      <w:t>3</w:t>
    </w:r>
    <w:r w:rsidR="00976FF6">
      <w:rPr>
        <w:rFonts w:ascii="Arial" w:hAnsi="Arial" w:cs="Arial"/>
        <w:bCs/>
        <w:sz w:val="16"/>
      </w:rPr>
      <w:fldChar w:fldCharType="end"/>
    </w:r>
    <w:r>
      <w:rPr>
        <w:rFonts w:ascii="Arial" w:hAnsi="Arial" w:cs="Arial"/>
        <w:bCs/>
        <w:sz w:val="16"/>
      </w:rPr>
      <w:t>/</w:t>
    </w:r>
    <w:r w:rsidR="00976FF6">
      <w:rPr>
        <w:rFonts w:ascii="Arial" w:hAnsi="Arial" w:cs="Arial"/>
        <w:bCs/>
        <w:sz w:val="16"/>
      </w:rPr>
      <w:fldChar w:fldCharType="begin"/>
    </w:r>
    <w:r>
      <w:rPr>
        <w:rFonts w:ascii="Arial" w:hAnsi="Arial" w:cs="Arial"/>
        <w:bCs/>
        <w:sz w:val="16"/>
      </w:rPr>
      <w:instrText xml:space="preserve"> NUMPAGES </w:instrText>
    </w:r>
    <w:r w:rsidR="00976FF6">
      <w:rPr>
        <w:rFonts w:ascii="Arial" w:hAnsi="Arial" w:cs="Arial"/>
        <w:bCs/>
        <w:sz w:val="16"/>
      </w:rPr>
      <w:fldChar w:fldCharType="separate"/>
    </w:r>
    <w:r w:rsidR="00AA507F">
      <w:rPr>
        <w:rFonts w:ascii="Arial" w:hAnsi="Arial" w:cs="Arial"/>
        <w:bCs/>
        <w:noProof/>
        <w:sz w:val="16"/>
      </w:rPr>
      <w:t>3</w:t>
    </w:r>
    <w:r w:rsidR="00976FF6">
      <w:rPr>
        <w:rFonts w:ascii="Arial" w:hAnsi="Arial" w:cs="Arial"/>
        <w:bCs/>
        <w:sz w:val="16"/>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04B8" w:rsidRPr="00AA04B8" w:rsidRDefault="00AA04B8" w:rsidP="00AA04B8">
    <w:pPr>
      <w:jc w:val="right"/>
      <w:rPr>
        <w:rFonts w:ascii="Interleaved 2of5" w:hAnsi="Interleaved 2of5"/>
        <w:sz w:val="48"/>
      </w:rPr>
    </w:pPr>
    <w:r w:rsidRPr="00AA04B8">
      <w:rPr>
        <w:rFonts w:ascii="Interleaved 2of5" w:hAnsi="Interleaved 2of5"/>
        <w:sz w:val="48"/>
      </w:rPr>
      <w:t>(7`^à1\1U0)</w:t>
    </w:r>
  </w:p>
  <w:p w:rsidR="004554A7" w:rsidRDefault="00AA04B8" w:rsidP="004554A7">
    <w:pPr>
      <w:spacing w:before="120"/>
      <w:jc w:val="center"/>
      <w:rPr>
        <w:rFonts w:ascii="Arial" w:hAnsi="Arial"/>
        <w:sz w:val="16"/>
      </w:rPr>
    </w:pPr>
    <w:r>
      <w:rPr>
        <w:rFonts w:ascii="Arial" w:hAnsi="Arial"/>
        <w:noProof/>
        <w:sz w:val="16"/>
      </w:rPr>
      <w:drawing>
        <wp:inline distT="0" distB="0" distL="0" distR="0">
          <wp:extent cx="762000" cy="800100"/>
          <wp:effectExtent l="19050" t="0" r="0" b="0"/>
          <wp:docPr id="1" name="Imagem 1" descr="brasao_do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_doc"/>
                  <pic:cNvPicPr>
                    <a:picLocks noChangeAspect="1" noChangeArrowheads="1"/>
                  </pic:cNvPicPr>
                </pic:nvPicPr>
                <pic:blipFill>
                  <a:blip r:embed="rId1"/>
                  <a:srcRect/>
                  <a:stretch>
                    <a:fillRect/>
                  </a:stretch>
                </pic:blipFill>
                <pic:spPr bwMode="auto">
                  <a:xfrm>
                    <a:off x="0" y="0"/>
                    <a:ext cx="762000" cy="800100"/>
                  </a:xfrm>
                  <a:prstGeom prst="rect">
                    <a:avLst/>
                  </a:prstGeom>
                  <a:noFill/>
                  <a:ln w="9525">
                    <a:noFill/>
                    <a:miter lim="800000"/>
                    <a:headEnd/>
                    <a:tailEnd/>
                  </a:ln>
                </pic:spPr>
              </pic:pic>
            </a:graphicData>
          </a:graphic>
        </wp:inline>
      </w:drawing>
    </w:r>
  </w:p>
  <w:p w:rsidR="00413610" w:rsidRDefault="00413610" w:rsidP="004554A7">
    <w:pPr>
      <w:spacing w:before="120"/>
      <w:jc w:val="center"/>
      <w:rPr>
        <w:rFonts w:ascii="Arial" w:hAnsi="Arial"/>
        <w:sz w:val="16"/>
      </w:rPr>
    </w:pPr>
    <w:r>
      <w:rPr>
        <w:rFonts w:ascii="Arial" w:hAnsi="Arial"/>
        <w:sz w:val="16"/>
      </w:rPr>
      <w:t>PODER JUDICIÁRIO</w:t>
    </w:r>
  </w:p>
  <w:p w:rsidR="00413610" w:rsidRDefault="00413610" w:rsidP="004554A7">
    <w:pPr>
      <w:jc w:val="center"/>
    </w:pPr>
    <w:r>
      <w:rPr>
        <w:rFonts w:ascii="Arial" w:hAnsi="Arial"/>
        <w:b/>
        <w:sz w:val="20"/>
      </w:rPr>
      <w:t>TRIBUNAL REGIONAL FEDERAL DA PRIMEIRA REGIÃO</w:t>
    </w:r>
    <w:r>
      <w:rPr>
        <w:rFonts w:ascii="Arial" w:hAnsi="Arial"/>
        <w:b/>
        <w:sz w:val="20"/>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C66DAC"/>
    <w:multiLevelType w:val="hybridMultilevel"/>
    <w:tmpl w:val="CAEEAB38"/>
    <w:lvl w:ilvl="0" w:tplc="1CB0F4D0">
      <w:start w:val="1"/>
      <w:numFmt w:val="bullet"/>
      <w:lvlText w:val=""/>
      <w:lvlJc w:val="left"/>
      <w:pPr>
        <w:tabs>
          <w:tab w:val="num" w:pos="927"/>
        </w:tabs>
        <w:ind w:left="927" w:hanging="360"/>
      </w:pPr>
      <w:rPr>
        <w:rFonts w:ascii="Symbol" w:hAnsi="Symbol" w:hint="default"/>
        <w:color w:val="auto"/>
      </w:rPr>
    </w:lvl>
    <w:lvl w:ilvl="1" w:tplc="04160003">
      <w:start w:val="1"/>
      <w:numFmt w:val="bullet"/>
      <w:lvlText w:val="o"/>
      <w:lvlJc w:val="left"/>
      <w:pPr>
        <w:tabs>
          <w:tab w:val="num" w:pos="1440"/>
        </w:tabs>
        <w:ind w:left="1440" w:hanging="360"/>
      </w:pPr>
      <w:rPr>
        <w:rFonts w:ascii="Courier New" w:hAnsi="Courier New" w:hint="default"/>
      </w:rPr>
    </w:lvl>
    <w:lvl w:ilvl="2" w:tplc="024A3448">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
    <w:nsid w:val="25EB4F8E"/>
    <w:multiLevelType w:val="hybridMultilevel"/>
    <w:tmpl w:val="C3E6D79C"/>
    <w:lvl w:ilvl="0" w:tplc="47D29EBA">
      <w:start w:val="1"/>
      <w:numFmt w:val="lowerLetter"/>
      <w:lvlText w:val="%1)"/>
      <w:lvlJc w:val="left"/>
      <w:pPr>
        <w:tabs>
          <w:tab w:val="num" w:pos="1500"/>
        </w:tabs>
        <w:ind w:left="1500" w:hanging="360"/>
      </w:pPr>
      <w:rPr>
        <w:rFonts w:hint="default"/>
      </w:rPr>
    </w:lvl>
    <w:lvl w:ilvl="1" w:tplc="04160019" w:tentative="1">
      <w:start w:val="1"/>
      <w:numFmt w:val="lowerLetter"/>
      <w:lvlText w:val="%2."/>
      <w:lvlJc w:val="left"/>
      <w:pPr>
        <w:tabs>
          <w:tab w:val="num" w:pos="2220"/>
        </w:tabs>
        <w:ind w:left="2220" w:hanging="360"/>
      </w:pPr>
    </w:lvl>
    <w:lvl w:ilvl="2" w:tplc="0416001B" w:tentative="1">
      <w:start w:val="1"/>
      <w:numFmt w:val="lowerRoman"/>
      <w:lvlText w:val="%3."/>
      <w:lvlJc w:val="right"/>
      <w:pPr>
        <w:tabs>
          <w:tab w:val="num" w:pos="2940"/>
        </w:tabs>
        <w:ind w:left="2940" w:hanging="180"/>
      </w:pPr>
    </w:lvl>
    <w:lvl w:ilvl="3" w:tplc="0416000F" w:tentative="1">
      <w:start w:val="1"/>
      <w:numFmt w:val="decimal"/>
      <w:lvlText w:val="%4."/>
      <w:lvlJc w:val="left"/>
      <w:pPr>
        <w:tabs>
          <w:tab w:val="num" w:pos="3660"/>
        </w:tabs>
        <w:ind w:left="3660" w:hanging="360"/>
      </w:pPr>
    </w:lvl>
    <w:lvl w:ilvl="4" w:tplc="04160019" w:tentative="1">
      <w:start w:val="1"/>
      <w:numFmt w:val="lowerLetter"/>
      <w:lvlText w:val="%5."/>
      <w:lvlJc w:val="left"/>
      <w:pPr>
        <w:tabs>
          <w:tab w:val="num" w:pos="4380"/>
        </w:tabs>
        <w:ind w:left="4380" w:hanging="360"/>
      </w:pPr>
    </w:lvl>
    <w:lvl w:ilvl="5" w:tplc="0416001B" w:tentative="1">
      <w:start w:val="1"/>
      <w:numFmt w:val="lowerRoman"/>
      <w:lvlText w:val="%6."/>
      <w:lvlJc w:val="right"/>
      <w:pPr>
        <w:tabs>
          <w:tab w:val="num" w:pos="5100"/>
        </w:tabs>
        <w:ind w:left="5100" w:hanging="180"/>
      </w:pPr>
    </w:lvl>
    <w:lvl w:ilvl="6" w:tplc="0416000F" w:tentative="1">
      <w:start w:val="1"/>
      <w:numFmt w:val="decimal"/>
      <w:lvlText w:val="%7."/>
      <w:lvlJc w:val="left"/>
      <w:pPr>
        <w:tabs>
          <w:tab w:val="num" w:pos="5820"/>
        </w:tabs>
        <w:ind w:left="5820" w:hanging="360"/>
      </w:pPr>
    </w:lvl>
    <w:lvl w:ilvl="7" w:tplc="04160019" w:tentative="1">
      <w:start w:val="1"/>
      <w:numFmt w:val="lowerLetter"/>
      <w:lvlText w:val="%8."/>
      <w:lvlJc w:val="left"/>
      <w:pPr>
        <w:tabs>
          <w:tab w:val="num" w:pos="6540"/>
        </w:tabs>
        <w:ind w:left="6540" w:hanging="360"/>
      </w:pPr>
    </w:lvl>
    <w:lvl w:ilvl="8" w:tplc="0416001B" w:tentative="1">
      <w:start w:val="1"/>
      <w:numFmt w:val="lowerRoman"/>
      <w:lvlText w:val="%9."/>
      <w:lvlJc w:val="right"/>
      <w:pPr>
        <w:tabs>
          <w:tab w:val="num" w:pos="7260"/>
        </w:tabs>
        <w:ind w:left="7260" w:hanging="180"/>
      </w:pPr>
    </w:lvl>
  </w:abstractNum>
  <w:abstractNum w:abstractNumId="2">
    <w:nsid w:val="2A262624"/>
    <w:multiLevelType w:val="multilevel"/>
    <w:tmpl w:val="78EEB8B6"/>
    <w:lvl w:ilvl="0">
      <w:start w:val="1"/>
      <w:numFmt w:val="bullet"/>
      <w:lvlText w:val=""/>
      <w:lvlJc w:val="left"/>
      <w:pPr>
        <w:tabs>
          <w:tab w:val="num" w:pos="567"/>
        </w:tabs>
        <w:ind w:left="567" w:hanging="397"/>
      </w:pPr>
      <w:rPr>
        <w:rFonts w:ascii="Wingdings" w:hAnsi="Wingdings" w:hint="default"/>
      </w:rPr>
    </w:lvl>
    <w:lvl w:ilvl="1">
      <w:start w:val="1"/>
      <w:numFmt w:val="bullet"/>
      <w:lvlText w:val=""/>
      <w:lvlJc w:val="left"/>
      <w:pPr>
        <w:tabs>
          <w:tab w:val="num" w:pos="1211"/>
        </w:tabs>
        <w:ind w:left="1134" w:hanging="283"/>
      </w:pPr>
      <w:rPr>
        <w:rFonts w:ascii="Wingdings" w:hAnsi="Wingdings" w:hint="default"/>
      </w:rPr>
    </w:lvl>
    <w:lvl w:ilvl="2">
      <w:start w:val="1"/>
      <w:numFmt w:val="bullet"/>
      <w:lvlText w:val=""/>
      <w:lvlJc w:val="left"/>
      <w:pPr>
        <w:tabs>
          <w:tab w:val="num" w:pos="2061"/>
        </w:tabs>
        <w:ind w:left="1928" w:hanging="227"/>
      </w:pPr>
      <w:rPr>
        <w:rFonts w:ascii="Wingdings" w:hAnsi="Wingdings" w:hint="default"/>
      </w:rPr>
    </w:lvl>
    <w:lvl w:ilvl="3">
      <w:start w:val="1"/>
      <w:numFmt w:val="bullet"/>
      <w:lvlText w:val=""/>
      <w:lvlJc w:val="left"/>
      <w:pPr>
        <w:tabs>
          <w:tab w:val="num" w:pos="3195"/>
        </w:tabs>
        <w:ind w:left="3119" w:hanging="284"/>
      </w:pPr>
      <w:rPr>
        <w:rFonts w:ascii="Symbol" w:hAnsi="Symbol" w:hint="default"/>
      </w:rPr>
    </w:lvl>
    <w:lvl w:ilvl="4">
      <w:start w:val="1"/>
      <w:numFmt w:val="bullet"/>
      <w:lvlText w:val=""/>
      <w:lvlJc w:val="left"/>
      <w:pPr>
        <w:tabs>
          <w:tab w:val="num" w:pos="4139"/>
        </w:tabs>
        <w:ind w:left="4139" w:hanging="737"/>
      </w:pPr>
      <w:rPr>
        <w:rFonts w:ascii="Symbol" w:hAnsi="Symbol" w:hint="default"/>
        <w:sz w:val="14"/>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attachedTemplate r:id="rId1"/>
  <w:stylePaneFormatFilter w:val="1801"/>
  <w:defaultTabStop w:val="709"/>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587155"/>
    <w:rsid w:val="0015179D"/>
    <w:rsid w:val="00191A8C"/>
    <w:rsid w:val="002331F7"/>
    <w:rsid w:val="00413610"/>
    <w:rsid w:val="004269A8"/>
    <w:rsid w:val="004554A7"/>
    <w:rsid w:val="00462716"/>
    <w:rsid w:val="00471CDF"/>
    <w:rsid w:val="004C17AC"/>
    <w:rsid w:val="00587155"/>
    <w:rsid w:val="005B0939"/>
    <w:rsid w:val="005E20DB"/>
    <w:rsid w:val="006779DE"/>
    <w:rsid w:val="006A4ECE"/>
    <w:rsid w:val="007A7066"/>
    <w:rsid w:val="007C3424"/>
    <w:rsid w:val="008713AE"/>
    <w:rsid w:val="00872397"/>
    <w:rsid w:val="008A3D69"/>
    <w:rsid w:val="008C4395"/>
    <w:rsid w:val="009009A1"/>
    <w:rsid w:val="00976FF6"/>
    <w:rsid w:val="0099169E"/>
    <w:rsid w:val="00AA04B8"/>
    <w:rsid w:val="00AA507F"/>
    <w:rsid w:val="00AE2B96"/>
    <w:rsid w:val="00BD7D21"/>
    <w:rsid w:val="00C5492A"/>
    <w:rsid w:val="00D221D6"/>
    <w:rsid w:val="00DD0AC9"/>
    <w:rsid w:val="00E850E4"/>
    <w:rsid w:val="00ED69CD"/>
    <w:rsid w:val="00EE644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87155"/>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Identificao">
    <w:name w:val="Identificação"/>
    <w:basedOn w:val="ementa"/>
    <w:rsid w:val="00587155"/>
    <w:pPr>
      <w:spacing w:before="0" w:after="0"/>
    </w:pPr>
  </w:style>
  <w:style w:type="paragraph" w:customStyle="1" w:styleId="ementa">
    <w:name w:val="ementa"/>
    <w:basedOn w:val="Pargrafo"/>
    <w:rsid w:val="002331F7"/>
    <w:pPr>
      <w:ind w:firstLine="0"/>
    </w:pPr>
  </w:style>
  <w:style w:type="paragraph" w:customStyle="1" w:styleId="Pargrafo">
    <w:name w:val="Parágrafo"/>
    <w:basedOn w:val="Normal"/>
    <w:link w:val="PargrafoChar"/>
    <w:rsid w:val="00587155"/>
    <w:pPr>
      <w:spacing w:before="120" w:after="120"/>
      <w:ind w:firstLine="1418"/>
      <w:jc w:val="both"/>
    </w:pPr>
    <w:rPr>
      <w:rFonts w:ascii="Arial" w:hAnsi="Arial"/>
      <w:sz w:val="22"/>
    </w:rPr>
  </w:style>
  <w:style w:type="paragraph" w:customStyle="1" w:styleId="centralizar">
    <w:name w:val="centralizar"/>
    <w:basedOn w:val="Pargrafo"/>
    <w:next w:val="Pargrafo"/>
    <w:rsid w:val="00587155"/>
    <w:pPr>
      <w:spacing w:before="360" w:after="360"/>
      <w:ind w:firstLine="0"/>
      <w:jc w:val="center"/>
    </w:pPr>
    <w:rPr>
      <w:b/>
    </w:rPr>
  </w:style>
  <w:style w:type="paragraph" w:customStyle="1" w:styleId="Transcrio">
    <w:name w:val="Transcrição"/>
    <w:basedOn w:val="Pargrafo"/>
    <w:rsid w:val="00587155"/>
    <w:pPr>
      <w:spacing w:before="60" w:after="60"/>
      <w:ind w:left="2268" w:firstLine="0"/>
    </w:pPr>
    <w:rPr>
      <w:i/>
    </w:rPr>
  </w:style>
  <w:style w:type="paragraph" w:styleId="Cabealho">
    <w:name w:val="header"/>
    <w:basedOn w:val="Normal"/>
    <w:rsid w:val="002331F7"/>
    <w:pPr>
      <w:tabs>
        <w:tab w:val="center" w:pos="4252"/>
        <w:tab w:val="right" w:pos="8504"/>
      </w:tabs>
    </w:pPr>
  </w:style>
  <w:style w:type="paragraph" w:customStyle="1" w:styleId="transcrio2">
    <w:name w:val="transcrição 2"/>
    <w:basedOn w:val="Transcrio"/>
    <w:rsid w:val="00587155"/>
    <w:pPr>
      <w:ind w:left="2835"/>
    </w:pPr>
  </w:style>
  <w:style w:type="paragraph" w:customStyle="1" w:styleId="transcrio3">
    <w:name w:val="transcrição 3"/>
    <w:basedOn w:val="Identificao"/>
    <w:rsid w:val="00587155"/>
    <w:pPr>
      <w:ind w:left="3686"/>
    </w:pPr>
    <w:rPr>
      <w:i/>
      <w:iCs/>
    </w:rPr>
  </w:style>
  <w:style w:type="paragraph" w:customStyle="1" w:styleId="transcrio4">
    <w:name w:val="transcrição 4"/>
    <w:basedOn w:val="transcrio3"/>
    <w:rsid w:val="00587155"/>
    <w:pPr>
      <w:ind w:left="4536"/>
    </w:pPr>
  </w:style>
  <w:style w:type="paragraph" w:customStyle="1" w:styleId="assinatura">
    <w:name w:val="assinatura"/>
    <w:basedOn w:val="Pargrafo"/>
    <w:rsid w:val="00587155"/>
    <w:pPr>
      <w:spacing w:before="0" w:after="0"/>
      <w:ind w:firstLine="0"/>
      <w:jc w:val="center"/>
    </w:pPr>
  </w:style>
  <w:style w:type="paragraph" w:customStyle="1" w:styleId="Pargrafo2">
    <w:name w:val="Parágrafo 2"/>
    <w:basedOn w:val="Pargrafo"/>
    <w:rsid w:val="00587155"/>
    <w:pPr>
      <w:spacing w:line="480" w:lineRule="auto"/>
    </w:pPr>
  </w:style>
  <w:style w:type="paragraph" w:styleId="Rodap">
    <w:name w:val="footer"/>
    <w:basedOn w:val="Normal"/>
    <w:rsid w:val="002331F7"/>
    <w:pPr>
      <w:tabs>
        <w:tab w:val="center" w:pos="4252"/>
        <w:tab w:val="right" w:pos="8504"/>
      </w:tabs>
    </w:pPr>
  </w:style>
  <w:style w:type="paragraph" w:styleId="TextosemFormatao">
    <w:name w:val="Plain Text"/>
    <w:basedOn w:val="Normal"/>
    <w:link w:val="TextosemFormataoChar"/>
    <w:uiPriority w:val="99"/>
    <w:unhideWhenUsed/>
    <w:rsid w:val="00AA04B8"/>
    <w:rPr>
      <w:rFonts w:ascii="Consolas" w:eastAsiaTheme="minorHAnsi" w:hAnsi="Consolas" w:cs="Consolas"/>
      <w:sz w:val="21"/>
      <w:szCs w:val="21"/>
      <w:lang w:eastAsia="en-US"/>
    </w:rPr>
  </w:style>
  <w:style w:type="character" w:customStyle="1" w:styleId="TextosemFormataoChar">
    <w:name w:val="Texto sem Formatação Char"/>
    <w:basedOn w:val="Fontepargpadro"/>
    <w:link w:val="TextosemFormatao"/>
    <w:uiPriority w:val="99"/>
    <w:rsid w:val="00AA04B8"/>
    <w:rPr>
      <w:rFonts w:ascii="Consolas" w:eastAsiaTheme="minorHAnsi" w:hAnsi="Consolas" w:cs="Consolas"/>
      <w:sz w:val="21"/>
      <w:szCs w:val="21"/>
      <w:lang w:eastAsia="en-US"/>
    </w:rPr>
  </w:style>
  <w:style w:type="character" w:customStyle="1" w:styleId="PargrafoChar">
    <w:name w:val="Parágrafo Char"/>
    <w:basedOn w:val="Fontepargpadro"/>
    <w:link w:val="Pargrafo"/>
    <w:locked/>
    <w:rsid w:val="00AA04B8"/>
    <w:rPr>
      <w:rFonts w:ascii="Arial" w:hAnsi="Arial"/>
      <w:sz w:val="22"/>
      <w:szCs w:val="24"/>
    </w:rPr>
  </w:style>
  <w:style w:type="paragraph" w:styleId="Textodebalo">
    <w:name w:val="Balloon Text"/>
    <w:basedOn w:val="Normal"/>
    <w:link w:val="TextodebaloChar"/>
    <w:rsid w:val="00AE2B96"/>
    <w:rPr>
      <w:rFonts w:ascii="Tahoma" w:hAnsi="Tahoma" w:cs="Tahoma"/>
      <w:sz w:val="16"/>
      <w:szCs w:val="16"/>
    </w:rPr>
  </w:style>
  <w:style w:type="character" w:customStyle="1" w:styleId="TextodebaloChar">
    <w:name w:val="Texto de balão Char"/>
    <w:basedOn w:val="Fontepargpadro"/>
    <w:link w:val="Textodebalo"/>
    <w:rsid w:val="00AE2B9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37396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srvora2-trf1\Modelos\modelos%20gabinetes\M&#193;SCARA%20PADR&#195;O.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MÁSCARA PADRÃO</Template>
  <TotalTime>1</TotalTime>
  <Pages>3</Pages>
  <Words>1020</Words>
  <Characters>5775</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lpstr>
    </vt:vector>
  </TitlesOfParts>
  <Company>trf1</Company>
  <LinksUpToDate>false</LinksUpToDate>
  <CharactersWithSpaces>6782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tr51903</dc:creator>
  <cp:lastModifiedBy>tr18664ps</cp:lastModifiedBy>
  <cp:revision>2</cp:revision>
  <cp:lastPrinted>2016-05-16T18:03:00Z</cp:lastPrinted>
  <dcterms:created xsi:type="dcterms:W3CDTF">2016-05-19T17:41:00Z</dcterms:created>
  <dcterms:modified xsi:type="dcterms:W3CDTF">2016-05-19T17:41:00Z</dcterms:modified>
</cp:coreProperties>
</file>