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64D" w:rsidRPr="00447380" w:rsidRDefault="00A0164D" w:rsidP="00A0164D">
      <w:pPr>
        <w:pStyle w:val="Identificao"/>
      </w:pPr>
      <w:r>
        <w:t xml:space="preserve">EMBARGOS DE DECLARAÇÃO NA </w:t>
      </w:r>
      <w:r w:rsidRPr="00447380">
        <w:t>APELAÇÃO CÍVEL 0007484-68.2014.4.01.3700/MA</w:t>
      </w:r>
    </w:p>
    <w:p w:rsidR="00A0164D" w:rsidRPr="00447380" w:rsidRDefault="00A0164D" w:rsidP="00A0164D">
      <w:pPr>
        <w:pStyle w:val="Identificao"/>
      </w:pPr>
      <w:r w:rsidRPr="00447380">
        <w:t>Processo na Origem: 74846820144013700</w:t>
      </w:r>
    </w:p>
    <w:p w:rsidR="00A0164D" w:rsidRDefault="00A0164D" w:rsidP="0061442F">
      <w:pPr>
        <w:pStyle w:val="Identificao"/>
        <w:spacing w:before="240" w:after="240"/>
        <w:jc w:val="center"/>
        <w:rPr>
          <w:b/>
        </w:rPr>
      </w:pPr>
      <w:r w:rsidRPr="00967B61">
        <w:rPr>
          <w:b/>
        </w:rPr>
        <w:t>RELATÓRIO</w:t>
      </w:r>
    </w:p>
    <w:p w:rsidR="00A0164D" w:rsidRDefault="00A0164D" w:rsidP="00A0164D">
      <w:pPr>
        <w:pStyle w:val="Identificao"/>
        <w:spacing w:after="60"/>
        <w:ind w:firstLine="1418"/>
      </w:pPr>
      <w:r>
        <w:rPr>
          <w:rFonts w:cs="Arial"/>
          <w:b/>
          <w:bCs/>
          <w:szCs w:val="22"/>
        </w:rPr>
        <w:t xml:space="preserve">O EXMO. </w:t>
      </w:r>
      <w:proofErr w:type="gramStart"/>
      <w:r>
        <w:rPr>
          <w:rFonts w:cs="Arial"/>
          <w:b/>
          <w:bCs/>
          <w:szCs w:val="22"/>
        </w:rPr>
        <w:t>SR.</w:t>
      </w:r>
      <w:proofErr w:type="gramEnd"/>
      <w:r>
        <w:rPr>
          <w:rFonts w:cs="Arial"/>
          <w:b/>
          <w:bCs/>
          <w:szCs w:val="22"/>
        </w:rPr>
        <w:t xml:space="preserve"> DESEMBARGADOR FEDERAL HERCULES FAJOSES (RELATOR):</w:t>
      </w:r>
    </w:p>
    <w:p w:rsidR="00A0164D" w:rsidRDefault="00A0164D" w:rsidP="00A0164D">
      <w:pPr>
        <w:pStyle w:val="Identificao"/>
        <w:spacing w:after="60"/>
        <w:ind w:firstLine="1418"/>
      </w:pPr>
      <w:r>
        <w:t xml:space="preserve">Trata-se de Embargos de Declaração opostos pela </w:t>
      </w:r>
      <w:r w:rsidR="009729C9">
        <w:t>UNIÃO FEDERAL</w:t>
      </w:r>
      <w:r>
        <w:t xml:space="preserve"> contra acórdão, cuja ementa segue abaixo transcrita:</w:t>
      </w:r>
    </w:p>
    <w:p w:rsidR="00A0164D" w:rsidRDefault="00A0164D" w:rsidP="00A0164D">
      <w:pPr>
        <w:pStyle w:val="Transcrio"/>
      </w:pPr>
      <w:r>
        <w:t xml:space="preserve">CONSTITUCIONAL. TRIBUTÁRIO. AÇÃO ANULATÓRIA. TAXA DE OCUPAÇÃO E/OU </w:t>
      </w:r>
      <w:r>
        <w:rPr>
          <w:u w:val="single"/>
        </w:rPr>
        <w:t>FORO</w:t>
      </w:r>
      <w:r>
        <w:t>/</w:t>
      </w:r>
      <w:r>
        <w:rPr>
          <w:u w:val="single"/>
        </w:rPr>
        <w:t>LAUDÊMIO</w:t>
      </w:r>
      <w:r>
        <w:t>. IMÓVEL SITUADO EM ILHA COSTEIRA. SEDE DO MUNICÍPIO DE SÃO LUÍS/MA. PERÍODO POSTERIOR À EC Nº 46/2005 (ART. 26, II, C/C ART. 20, IV, DA CF/88). ENCARGOS INDEVIDOS. ÁREAS INSULARES. SEDE DE MUNICÍPIO.  HONORÁRIOS DE ADVOGADO.</w:t>
      </w:r>
    </w:p>
    <w:p w:rsidR="00A0164D" w:rsidRDefault="00A0164D" w:rsidP="00A0164D">
      <w:pPr>
        <w:pStyle w:val="Transcrio"/>
      </w:pPr>
      <w:r>
        <w:t>1. A Constituição Federal de 1988 estabelece em seu art. 20, inciso VI, que: "São bens da União: (...) IV - (...) as ilhas oceânicas e as costeiras, excluídas, destas, as que contenham a sede de Municípios, exceto aquelas áreas afetadas ao serviço público e a unidade ambiental federal, e as referidas no art. 26, II;". (o trecho introduzido pela EC nº 46, de 05 de maio de 2005).</w:t>
      </w:r>
    </w:p>
    <w:p w:rsidR="00A0164D" w:rsidRDefault="00A0164D" w:rsidP="00A0164D">
      <w:pPr>
        <w:pStyle w:val="Transcrio"/>
      </w:pPr>
      <w:r>
        <w:t xml:space="preserve">2. O tema em análise encontra-se pendente de julgamento pelo egrégio Supremo Tribunal Federal, sob o rito da repercussão geral a que alude o art. 543-B do Código de Processo Civil/1973 (RG-RE nº 636.199/ES), o que, todavia, não impede a solução da lide "si </w:t>
      </w:r>
      <w:proofErr w:type="spellStart"/>
      <w:proofErr w:type="gramStart"/>
      <w:r>
        <w:t>et</w:t>
      </w:r>
      <w:proofErr w:type="spellEnd"/>
      <w:proofErr w:type="gramEnd"/>
      <w:r>
        <w:t xml:space="preserve"> in quantum", na linha da jurisprudência dominante desta 4ª Seção.</w:t>
      </w:r>
    </w:p>
    <w:p w:rsidR="00A0164D" w:rsidRDefault="00A0164D" w:rsidP="00A0164D">
      <w:pPr>
        <w:pStyle w:val="Transcrio"/>
      </w:pPr>
      <w:r>
        <w:t xml:space="preserve">3. Da leitura da redação do Inciso IV do art. 20 da Constituição Federal de 1988 (EC nº 46/2005), que é norma de eficácia plena, e, à vista do reconhecimento da existência de repercussão geral a ensejar </w:t>
      </w:r>
      <w:proofErr w:type="gramStart"/>
      <w:r>
        <w:t>a</w:t>
      </w:r>
      <w:proofErr w:type="gramEnd"/>
      <w:r>
        <w:t xml:space="preserve"> </w:t>
      </w:r>
      <w:proofErr w:type="gramStart"/>
      <w:r>
        <w:t>interpretação</w:t>
      </w:r>
      <w:proofErr w:type="gramEnd"/>
      <w:r>
        <w:t xml:space="preserve"> do citado dispositivo, após a Emenda Constitucional nº 46, observo que, neste momento resta afastada a possibilidade de discussão quanto à verificação da cadeia dominial, na medida em que a Emenda Constitucional elegeu apenas um fator de "discriminem" para a exclusão das "ilhas oceânicas e costeiras" do rol de bens da União: que se tratem de áreas insulares "que contenham sede de Municípios", o que no presente caso é notório e incontroverso.</w:t>
      </w:r>
    </w:p>
    <w:p w:rsidR="00A0164D" w:rsidRDefault="00A0164D" w:rsidP="00A0164D">
      <w:pPr>
        <w:pStyle w:val="Transcrio"/>
      </w:pPr>
      <w:r>
        <w:t>4. Desse modo, consequentemente, resta inviabilizada a pretensão da UNIÃO de obtenção e/ou manutenção do domínio de áreas contidas em ilhas costeiras ou oceânicas que sejam "sede de município", a partir da data da modificação constitucional, afastando a legitimidade da cobrança dos pretendidos tributos.</w:t>
      </w:r>
    </w:p>
    <w:p w:rsidR="00A0164D" w:rsidRDefault="00A0164D" w:rsidP="00A0164D">
      <w:pPr>
        <w:pStyle w:val="Transcrio"/>
      </w:pPr>
      <w:r>
        <w:t>5. Quanto à demarcação/delimitação dos terrenos de marinha (não interiores), a "definição da linha preamar média de 1831" (ponderação das marés máximas), sem a notificação pessoal dos interessados, caracteriza afronta aos princípios do contraditório e da ampla defesa, consoante precedentes da 7ª Turma desta Corte (AG nº 0074617-77.2011.4.01.0000/MA, Rel. Des. Fed. LUCIANO TOLENTINO AMARAL).</w:t>
      </w:r>
    </w:p>
    <w:p w:rsidR="00A0164D" w:rsidRDefault="00A0164D" w:rsidP="00A0164D">
      <w:pPr>
        <w:pStyle w:val="Transcrio"/>
      </w:pPr>
      <w:r>
        <w:rPr>
          <w:color w:val="000000"/>
        </w:rPr>
        <w:lastRenderedPageBreak/>
        <w:t>6. No que tange aos honorários advocatícios, t</w:t>
      </w:r>
      <w:r>
        <w:t>enho firmado entendimento no sentido de que tal verba tem característica complementar aos honorários contratuais, haja vista sua natureza remuneratória.</w:t>
      </w:r>
    </w:p>
    <w:p w:rsidR="00A0164D" w:rsidRDefault="00A0164D" w:rsidP="00A0164D">
      <w:pPr>
        <w:pStyle w:val="Transcrio"/>
      </w:pPr>
      <w:r>
        <w:t>7. Ademais, entendo que a responsabilidade do advogado não tem relação direta com o valor atribuído à causa, vez que o denodo na prestação dos serviços há de ser o mesmo para quaisquer casos.</w:t>
      </w:r>
    </w:p>
    <w:p w:rsidR="00A0164D" w:rsidRPr="00401AE6" w:rsidRDefault="00A0164D" w:rsidP="00A0164D">
      <w:pPr>
        <w:pStyle w:val="Transcrio"/>
      </w:pPr>
      <w:r w:rsidRPr="00401AE6">
        <w:t xml:space="preserve">8. A fixação dos honorários advocatícios </w:t>
      </w:r>
      <w:proofErr w:type="spellStart"/>
      <w:r w:rsidRPr="00401AE6">
        <w:t>sucumbenciais</w:t>
      </w:r>
      <w:proofErr w:type="spellEnd"/>
      <w:r w:rsidRPr="00401AE6">
        <w:t xml:space="preserve"> levada a efeito pelo Juízo sentenciante não guarda observância aos princípios da razoabilidade e da equidade, razão pela qual devem ser reduzidos, considerando-se o previsto nos incisos I a V do § 3º c/c inciso II do § 4º, todos do art. 85 do NCPC, cujo montante deverá ser apurado no momento processual oportuno.</w:t>
      </w:r>
    </w:p>
    <w:p w:rsidR="00A0164D" w:rsidRDefault="00A0164D" w:rsidP="00A0164D">
      <w:pPr>
        <w:pStyle w:val="Transcrio"/>
      </w:pPr>
      <w:r>
        <w:t>9. Apelação parcialmente provida, tão somente para reduzir os honorários advocatícios.</w:t>
      </w:r>
    </w:p>
    <w:p w:rsidR="00A0164D" w:rsidRDefault="00A0164D" w:rsidP="00A0164D">
      <w:pPr>
        <w:spacing w:after="60"/>
        <w:ind w:firstLine="14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Sustenta a </w:t>
      </w:r>
      <w:r w:rsidR="009729C9">
        <w:rPr>
          <w:rFonts w:ascii="Arial" w:hAnsi="Arial" w:cs="Arial"/>
          <w:sz w:val="22"/>
          <w:szCs w:val="22"/>
        </w:rPr>
        <w:t>embargante</w:t>
      </w:r>
      <w:r>
        <w:rPr>
          <w:rFonts w:ascii="Arial" w:hAnsi="Arial" w:cs="Arial"/>
          <w:sz w:val="22"/>
          <w:szCs w:val="22"/>
        </w:rPr>
        <w:t xml:space="preserve"> a ocorrência de omissão e contradição no julgado, vez que o acórdão embargado teria d</w:t>
      </w:r>
      <w:r w:rsidR="005E28BB">
        <w:rPr>
          <w:rFonts w:ascii="Arial" w:hAnsi="Arial" w:cs="Arial"/>
          <w:sz w:val="22"/>
          <w:szCs w:val="22"/>
        </w:rPr>
        <w:t>eixado de apreciar o disposto no artigo 20</w:t>
      </w:r>
      <w:r w:rsidR="001C5BD2">
        <w:rPr>
          <w:rFonts w:ascii="Arial" w:hAnsi="Arial" w:cs="Arial"/>
          <w:sz w:val="22"/>
          <w:szCs w:val="22"/>
        </w:rPr>
        <w:t xml:space="preserve"> </w:t>
      </w:r>
      <w:r w:rsidR="005E28BB">
        <w:rPr>
          <w:rFonts w:ascii="Arial" w:hAnsi="Arial" w:cs="Arial"/>
          <w:sz w:val="22"/>
          <w:szCs w:val="22"/>
        </w:rPr>
        <w:t>e no artigo 37, inciso</w:t>
      </w:r>
      <w:r>
        <w:rPr>
          <w:rFonts w:ascii="Arial" w:hAnsi="Arial" w:cs="Arial"/>
          <w:sz w:val="22"/>
          <w:szCs w:val="22"/>
        </w:rPr>
        <w:t xml:space="preserve"> XXI, da Constituição.</w:t>
      </w:r>
    </w:p>
    <w:p w:rsidR="00A0164D" w:rsidRDefault="00A0164D" w:rsidP="00A0164D">
      <w:pPr>
        <w:spacing w:after="60"/>
        <w:ind w:firstLine="14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Requer a reforma do </w:t>
      </w:r>
      <w:r w:rsidR="005E28BB">
        <w:rPr>
          <w:rFonts w:ascii="Arial" w:hAnsi="Arial" w:cs="Arial"/>
          <w:sz w:val="22"/>
          <w:szCs w:val="22"/>
        </w:rPr>
        <w:t>julgado.</w:t>
      </w:r>
    </w:p>
    <w:p w:rsidR="00A0164D" w:rsidRPr="004D6E7F" w:rsidRDefault="00A0164D" w:rsidP="00A0164D">
      <w:pPr>
        <w:spacing w:after="60"/>
        <w:ind w:firstLine="14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É o relatório.</w:t>
      </w:r>
    </w:p>
    <w:p w:rsidR="00A0164D" w:rsidRPr="004D6E7F" w:rsidRDefault="00A0164D" w:rsidP="0061442F">
      <w:pPr>
        <w:spacing w:before="240" w:after="240"/>
        <w:jc w:val="center"/>
        <w:rPr>
          <w:rFonts w:ascii="Arial" w:hAnsi="Arial" w:cs="Arial"/>
          <w:b/>
          <w:sz w:val="22"/>
          <w:szCs w:val="22"/>
        </w:rPr>
      </w:pPr>
      <w:r w:rsidRPr="00967B61">
        <w:rPr>
          <w:rFonts w:ascii="Arial" w:hAnsi="Arial" w:cs="Arial"/>
          <w:b/>
          <w:sz w:val="22"/>
          <w:szCs w:val="22"/>
        </w:rPr>
        <w:t>VOTO</w:t>
      </w:r>
    </w:p>
    <w:p w:rsidR="00A0164D" w:rsidRDefault="00A0164D" w:rsidP="00A0164D">
      <w:pPr>
        <w:autoSpaceDE w:val="0"/>
        <w:autoSpaceDN w:val="0"/>
        <w:adjustRightInd w:val="0"/>
        <w:spacing w:after="60"/>
        <w:ind w:firstLine="1418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O EXMO. </w:t>
      </w:r>
      <w:proofErr w:type="gramStart"/>
      <w:r>
        <w:rPr>
          <w:rFonts w:ascii="Arial" w:hAnsi="Arial" w:cs="Arial"/>
          <w:b/>
          <w:bCs/>
          <w:sz w:val="22"/>
          <w:szCs w:val="22"/>
        </w:rPr>
        <w:t>SR.</w:t>
      </w:r>
      <w:proofErr w:type="gramEnd"/>
      <w:r>
        <w:rPr>
          <w:rFonts w:ascii="Arial" w:hAnsi="Arial" w:cs="Arial"/>
          <w:b/>
          <w:bCs/>
          <w:sz w:val="22"/>
          <w:szCs w:val="22"/>
        </w:rPr>
        <w:t xml:space="preserve"> DESEMBARGADOR FEDERAL HERCULES FAJOSES (RELATOR):</w:t>
      </w:r>
    </w:p>
    <w:p w:rsidR="00A0164D" w:rsidRPr="00D873EC" w:rsidRDefault="00A0164D" w:rsidP="00A0164D">
      <w:pPr>
        <w:autoSpaceDE w:val="0"/>
        <w:autoSpaceDN w:val="0"/>
        <w:adjustRightInd w:val="0"/>
        <w:spacing w:after="60"/>
        <w:ind w:firstLine="1418"/>
        <w:jc w:val="both"/>
        <w:rPr>
          <w:rFonts w:ascii="Arial" w:hAnsi="Arial" w:cs="Arial"/>
          <w:sz w:val="22"/>
          <w:szCs w:val="22"/>
        </w:rPr>
      </w:pPr>
      <w:r w:rsidRPr="00D873EC">
        <w:rPr>
          <w:rFonts w:ascii="Arial" w:hAnsi="Arial" w:cs="Arial"/>
          <w:sz w:val="22"/>
          <w:szCs w:val="22"/>
        </w:rPr>
        <w:t>Os embargos de declaração, conforme estabelece o art. 1.022 do N</w:t>
      </w:r>
      <w:r>
        <w:rPr>
          <w:rFonts w:ascii="Arial" w:hAnsi="Arial" w:cs="Arial"/>
          <w:sz w:val="22"/>
          <w:szCs w:val="22"/>
        </w:rPr>
        <w:t>CPC, tê</w:t>
      </w:r>
      <w:r w:rsidRPr="00D873EC">
        <w:rPr>
          <w:rFonts w:ascii="Arial" w:hAnsi="Arial" w:cs="Arial"/>
          <w:sz w:val="22"/>
          <w:szCs w:val="22"/>
        </w:rPr>
        <w:t>m por finalidade sanar eventuais omissões, obscuridades ou mesmo contradições existentes em decisões judiciais</w:t>
      </w:r>
      <w:r>
        <w:rPr>
          <w:rFonts w:ascii="Arial" w:hAnsi="Arial" w:cs="Arial"/>
          <w:sz w:val="22"/>
          <w:szCs w:val="22"/>
        </w:rPr>
        <w:t xml:space="preserve">, bem como corrigir erro material. </w:t>
      </w:r>
      <w:r w:rsidRPr="00D873EC">
        <w:rPr>
          <w:rFonts w:ascii="Arial" w:hAnsi="Arial" w:cs="Arial"/>
          <w:sz w:val="22"/>
          <w:szCs w:val="22"/>
        </w:rPr>
        <w:t>Assim, não é cabível a oposição de embargos de declaração, objetivando viabilizar a revisão ou anulação de decisões, ainda mais se a matéria foi deb</w:t>
      </w:r>
      <w:r>
        <w:rPr>
          <w:rFonts w:ascii="Arial" w:hAnsi="Arial" w:cs="Arial"/>
          <w:sz w:val="22"/>
          <w:szCs w:val="22"/>
        </w:rPr>
        <w:t>atida.</w:t>
      </w:r>
    </w:p>
    <w:p w:rsidR="00A0164D" w:rsidRPr="00D873EC" w:rsidRDefault="00A0164D" w:rsidP="00A0164D">
      <w:pPr>
        <w:autoSpaceDE w:val="0"/>
        <w:autoSpaceDN w:val="0"/>
        <w:adjustRightInd w:val="0"/>
        <w:spacing w:after="60"/>
        <w:ind w:firstLine="1418"/>
        <w:jc w:val="both"/>
        <w:rPr>
          <w:rFonts w:ascii="Arial" w:hAnsi="Arial" w:cs="Arial"/>
          <w:sz w:val="22"/>
          <w:szCs w:val="22"/>
        </w:rPr>
      </w:pPr>
      <w:r w:rsidRPr="00D873EC">
        <w:rPr>
          <w:rFonts w:ascii="Arial" w:hAnsi="Arial" w:cs="Arial"/>
          <w:sz w:val="22"/>
          <w:szCs w:val="22"/>
        </w:rPr>
        <w:t>Neste sentido é o entendimento pacífico do egrégio STJ: “</w:t>
      </w:r>
      <w:r w:rsidRPr="00D873EC">
        <w:rPr>
          <w:rFonts w:ascii="Arial" w:hAnsi="Arial" w:cs="Arial"/>
          <w:i/>
          <w:iCs/>
          <w:sz w:val="22"/>
          <w:szCs w:val="22"/>
        </w:rPr>
        <w:t>Deveras, é cediço que inocorrentes as hipóteses de omissão, contradição, obscuridade ou erro material, não há como prosperar o inconformismo, cujo real objetivo é a pretensão de reexame da questão atinente ao reconhecimento da violação do art. 535, do CPC, o que é inviável de ser revisado em sede de embargos de declaração, dentro dos estreitos limites previstos no artigo 535 do CPC. Precedentes da Corte Especial</w:t>
      </w:r>
      <w:r w:rsidRPr="00D873EC">
        <w:rPr>
          <w:rFonts w:ascii="Arial" w:hAnsi="Arial" w:cs="Arial"/>
          <w:sz w:val="22"/>
          <w:szCs w:val="22"/>
        </w:rPr>
        <w:t xml:space="preserve">: </w:t>
      </w:r>
      <w:proofErr w:type="spellStart"/>
      <w:proofErr w:type="gramStart"/>
      <w:r w:rsidRPr="00D873EC">
        <w:rPr>
          <w:rFonts w:ascii="Arial" w:hAnsi="Arial" w:cs="Arial"/>
          <w:sz w:val="22"/>
          <w:szCs w:val="22"/>
        </w:rPr>
        <w:t>AgRg</w:t>
      </w:r>
      <w:proofErr w:type="spellEnd"/>
      <w:proofErr w:type="gramEnd"/>
      <w:r w:rsidRPr="00D873EC">
        <w:rPr>
          <w:rFonts w:ascii="Arial" w:hAnsi="Arial" w:cs="Arial"/>
          <w:sz w:val="22"/>
          <w:szCs w:val="22"/>
        </w:rPr>
        <w:t xml:space="preserve"> nos </w:t>
      </w:r>
      <w:proofErr w:type="spellStart"/>
      <w:r w:rsidRPr="00D873EC">
        <w:rPr>
          <w:rFonts w:ascii="Arial" w:hAnsi="Arial" w:cs="Arial"/>
          <w:sz w:val="22"/>
          <w:szCs w:val="22"/>
        </w:rPr>
        <w:t>EDcl</w:t>
      </w:r>
      <w:proofErr w:type="spellEnd"/>
      <w:r w:rsidRPr="00D873EC">
        <w:rPr>
          <w:rFonts w:ascii="Arial" w:hAnsi="Arial" w:cs="Arial"/>
          <w:sz w:val="22"/>
          <w:szCs w:val="22"/>
        </w:rPr>
        <w:t xml:space="preserve"> nos </w:t>
      </w:r>
      <w:proofErr w:type="spellStart"/>
      <w:r w:rsidRPr="00D873EC">
        <w:rPr>
          <w:rFonts w:ascii="Arial" w:hAnsi="Arial" w:cs="Arial"/>
          <w:sz w:val="22"/>
          <w:szCs w:val="22"/>
        </w:rPr>
        <w:t>EREsp</w:t>
      </w:r>
      <w:proofErr w:type="spellEnd"/>
      <w:r w:rsidRPr="00D873EC">
        <w:rPr>
          <w:rFonts w:ascii="Arial" w:hAnsi="Arial" w:cs="Arial"/>
          <w:sz w:val="22"/>
          <w:szCs w:val="22"/>
        </w:rPr>
        <w:t xml:space="preserve"> 693.711/RS, DJ 06.03.2008; </w:t>
      </w:r>
      <w:proofErr w:type="spellStart"/>
      <w:r w:rsidRPr="00D873EC">
        <w:rPr>
          <w:rFonts w:ascii="Arial" w:hAnsi="Arial" w:cs="Arial"/>
          <w:sz w:val="22"/>
          <w:szCs w:val="22"/>
        </w:rPr>
        <w:t>EDcl</w:t>
      </w:r>
      <w:proofErr w:type="spellEnd"/>
      <w:r w:rsidRPr="00D873EC">
        <w:rPr>
          <w:rFonts w:ascii="Arial" w:hAnsi="Arial" w:cs="Arial"/>
          <w:sz w:val="22"/>
          <w:szCs w:val="22"/>
        </w:rPr>
        <w:t xml:space="preserve"> no </w:t>
      </w:r>
      <w:proofErr w:type="spellStart"/>
      <w:r w:rsidRPr="00D873EC">
        <w:rPr>
          <w:rFonts w:ascii="Arial" w:hAnsi="Arial" w:cs="Arial"/>
          <w:sz w:val="22"/>
          <w:szCs w:val="22"/>
        </w:rPr>
        <w:t>AgRg</w:t>
      </w:r>
      <w:proofErr w:type="spellEnd"/>
      <w:r w:rsidRPr="00D873EC">
        <w:rPr>
          <w:rFonts w:ascii="Arial" w:hAnsi="Arial" w:cs="Arial"/>
          <w:sz w:val="22"/>
          <w:szCs w:val="22"/>
        </w:rPr>
        <w:t xml:space="preserve"> no MS 12.792/DF, DJ 10.03.2008 e </w:t>
      </w:r>
      <w:proofErr w:type="spellStart"/>
      <w:r w:rsidRPr="00D873EC">
        <w:rPr>
          <w:rFonts w:ascii="Arial" w:hAnsi="Arial" w:cs="Arial"/>
          <w:sz w:val="22"/>
          <w:szCs w:val="22"/>
        </w:rPr>
        <w:t>EDcl</w:t>
      </w:r>
      <w:proofErr w:type="spellEnd"/>
      <w:r w:rsidRPr="00D873EC">
        <w:rPr>
          <w:rFonts w:ascii="Arial" w:hAnsi="Arial" w:cs="Arial"/>
          <w:sz w:val="22"/>
          <w:szCs w:val="22"/>
        </w:rPr>
        <w:t xml:space="preserve"> no </w:t>
      </w:r>
      <w:proofErr w:type="spellStart"/>
      <w:r w:rsidRPr="00D873EC">
        <w:rPr>
          <w:rFonts w:ascii="Arial" w:hAnsi="Arial" w:cs="Arial"/>
          <w:sz w:val="22"/>
          <w:szCs w:val="22"/>
        </w:rPr>
        <w:t>AgRg</w:t>
      </w:r>
      <w:proofErr w:type="spellEnd"/>
      <w:r w:rsidRPr="00D873EC">
        <w:rPr>
          <w:rFonts w:ascii="Arial" w:hAnsi="Arial" w:cs="Arial"/>
          <w:sz w:val="22"/>
          <w:szCs w:val="22"/>
        </w:rPr>
        <w:t xml:space="preserve"> nos </w:t>
      </w:r>
      <w:proofErr w:type="spellStart"/>
      <w:r w:rsidRPr="00D873EC">
        <w:rPr>
          <w:rFonts w:ascii="Arial" w:hAnsi="Arial" w:cs="Arial"/>
          <w:sz w:val="22"/>
          <w:szCs w:val="22"/>
        </w:rPr>
        <w:t>EREsp</w:t>
      </w:r>
      <w:proofErr w:type="spellEnd"/>
      <w:r w:rsidRPr="00D873EC">
        <w:rPr>
          <w:rFonts w:ascii="Arial" w:hAnsi="Arial" w:cs="Arial"/>
          <w:sz w:val="22"/>
          <w:szCs w:val="22"/>
        </w:rPr>
        <w:t xml:space="preserve"> 807.970/DF, DJ 25.02.2008”.</w:t>
      </w:r>
    </w:p>
    <w:p w:rsidR="00A0164D" w:rsidRPr="00D873EC" w:rsidRDefault="00A0164D" w:rsidP="00A0164D">
      <w:pPr>
        <w:autoSpaceDE w:val="0"/>
        <w:autoSpaceDN w:val="0"/>
        <w:adjustRightInd w:val="0"/>
        <w:spacing w:after="60"/>
        <w:ind w:firstLine="1418"/>
        <w:jc w:val="both"/>
        <w:rPr>
          <w:rFonts w:ascii="Arial" w:hAnsi="Arial" w:cs="Arial"/>
          <w:sz w:val="22"/>
          <w:szCs w:val="22"/>
        </w:rPr>
      </w:pPr>
      <w:r w:rsidRPr="00D873EC">
        <w:rPr>
          <w:rFonts w:ascii="Arial" w:hAnsi="Arial" w:cs="Arial"/>
          <w:sz w:val="22"/>
          <w:szCs w:val="22"/>
        </w:rPr>
        <w:t xml:space="preserve">Quanto ao </w:t>
      </w:r>
      <w:proofErr w:type="spellStart"/>
      <w:r w:rsidRPr="00D873EC">
        <w:rPr>
          <w:rFonts w:ascii="Arial" w:hAnsi="Arial" w:cs="Arial"/>
          <w:sz w:val="22"/>
          <w:szCs w:val="22"/>
        </w:rPr>
        <w:t>prequestionamento</w:t>
      </w:r>
      <w:proofErr w:type="spellEnd"/>
      <w:r w:rsidRPr="00D873EC">
        <w:rPr>
          <w:rFonts w:ascii="Arial" w:hAnsi="Arial" w:cs="Arial"/>
          <w:sz w:val="22"/>
          <w:szCs w:val="22"/>
        </w:rPr>
        <w:t xml:space="preserve">, também o STJ tem se pronunciado no sentido de que: </w:t>
      </w:r>
      <w:r w:rsidRPr="00D873EC">
        <w:rPr>
          <w:rFonts w:ascii="Arial" w:hAnsi="Arial" w:cs="Arial"/>
          <w:i/>
          <w:iCs/>
          <w:sz w:val="22"/>
          <w:szCs w:val="22"/>
        </w:rPr>
        <w:t xml:space="preserve">“Os embargos de declaração têm como requisito de admissibilidade a indicação de algum dos vícios previstos no ar. 535, do CPC, supostamente detectados no </w:t>
      </w:r>
      <w:proofErr w:type="spellStart"/>
      <w:r w:rsidRPr="00D873EC">
        <w:rPr>
          <w:rFonts w:ascii="Arial" w:hAnsi="Arial" w:cs="Arial"/>
          <w:i/>
          <w:iCs/>
          <w:sz w:val="22"/>
          <w:szCs w:val="22"/>
        </w:rPr>
        <w:t>decisum</w:t>
      </w:r>
      <w:proofErr w:type="spellEnd"/>
      <w:r w:rsidRPr="00D873EC">
        <w:rPr>
          <w:rFonts w:ascii="Arial" w:hAnsi="Arial" w:cs="Arial"/>
          <w:i/>
          <w:iCs/>
          <w:sz w:val="22"/>
          <w:szCs w:val="22"/>
        </w:rPr>
        <w:t xml:space="preserve"> embargado, não se prestando, contudo, ao mero </w:t>
      </w:r>
      <w:proofErr w:type="spellStart"/>
      <w:r w:rsidRPr="00D873EC">
        <w:rPr>
          <w:rFonts w:ascii="Arial" w:hAnsi="Arial" w:cs="Arial"/>
          <w:i/>
          <w:iCs/>
          <w:sz w:val="22"/>
          <w:szCs w:val="22"/>
        </w:rPr>
        <w:t>prequestionamento</w:t>
      </w:r>
      <w:proofErr w:type="spellEnd"/>
      <w:r w:rsidRPr="00D873EC">
        <w:rPr>
          <w:rFonts w:ascii="Arial" w:hAnsi="Arial" w:cs="Arial"/>
          <w:i/>
          <w:iCs/>
          <w:sz w:val="22"/>
          <w:szCs w:val="22"/>
        </w:rPr>
        <w:t xml:space="preserve"> de dispositivos constitucionais para a viabilização de eventual recurso extraordinário, porquanto visam, unicamente, completar a decisão quando presente omissão de ponto fundamental, contradição entre a fundamentação e a conclusão, ou obscuridade nas razões desenvolvidas</w:t>
      </w:r>
      <w:r w:rsidRPr="00D873EC">
        <w:rPr>
          <w:rFonts w:ascii="Arial" w:hAnsi="Arial" w:cs="Arial"/>
          <w:sz w:val="22"/>
          <w:szCs w:val="22"/>
        </w:rPr>
        <w:t xml:space="preserve">” (Precedentes da Corte Especial: </w:t>
      </w:r>
      <w:proofErr w:type="spellStart"/>
      <w:proofErr w:type="gramStart"/>
      <w:r w:rsidRPr="00D873EC">
        <w:rPr>
          <w:rFonts w:ascii="Arial" w:hAnsi="Arial" w:cs="Arial"/>
          <w:sz w:val="22"/>
          <w:szCs w:val="22"/>
        </w:rPr>
        <w:t>EDcl</w:t>
      </w:r>
      <w:proofErr w:type="spellEnd"/>
      <w:proofErr w:type="gramEnd"/>
      <w:r w:rsidRPr="00D873EC">
        <w:rPr>
          <w:rFonts w:ascii="Arial" w:hAnsi="Arial" w:cs="Arial"/>
          <w:sz w:val="22"/>
          <w:szCs w:val="22"/>
        </w:rPr>
        <w:t xml:space="preserve"> no </w:t>
      </w:r>
      <w:proofErr w:type="spellStart"/>
      <w:r w:rsidRPr="00D873EC">
        <w:rPr>
          <w:rFonts w:ascii="Arial" w:hAnsi="Arial" w:cs="Arial"/>
          <w:sz w:val="22"/>
          <w:szCs w:val="22"/>
        </w:rPr>
        <w:t>AgRg</w:t>
      </w:r>
      <w:proofErr w:type="spellEnd"/>
      <w:r w:rsidRPr="00D873EC">
        <w:rPr>
          <w:rFonts w:ascii="Arial" w:hAnsi="Arial" w:cs="Arial"/>
          <w:sz w:val="22"/>
          <w:szCs w:val="22"/>
        </w:rPr>
        <w:t xml:space="preserve"> nos </w:t>
      </w:r>
      <w:proofErr w:type="spellStart"/>
      <w:r w:rsidRPr="00D873EC">
        <w:rPr>
          <w:rFonts w:ascii="Arial" w:hAnsi="Arial" w:cs="Arial"/>
          <w:sz w:val="22"/>
          <w:szCs w:val="22"/>
        </w:rPr>
        <w:t>EREsp</w:t>
      </w:r>
      <w:proofErr w:type="spellEnd"/>
      <w:r w:rsidRPr="00D873EC">
        <w:rPr>
          <w:rFonts w:ascii="Arial" w:hAnsi="Arial" w:cs="Arial"/>
          <w:sz w:val="22"/>
          <w:szCs w:val="22"/>
        </w:rPr>
        <w:t xml:space="preserve"> 807.970/DF, Rel. Ministra Eliana Calmon, julgado em 19.12.2007, DJ 25.02.2008; </w:t>
      </w:r>
      <w:proofErr w:type="spellStart"/>
      <w:r w:rsidRPr="00D873EC">
        <w:rPr>
          <w:rFonts w:ascii="Arial" w:hAnsi="Arial" w:cs="Arial"/>
          <w:sz w:val="22"/>
          <w:szCs w:val="22"/>
        </w:rPr>
        <w:t>EDcl</w:t>
      </w:r>
      <w:proofErr w:type="spellEnd"/>
      <w:r w:rsidRPr="00D873EC">
        <w:rPr>
          <w:rFonts w:ascii="Arial" w:hAnsi="Arial" w:cs="Arial"/>
          <w:sz w:val="22"/>
          <w:szCs w:val="22"/>
        </w:rPr>
        <w:t xml:space="preserve"> no </w:t>
      </w:r>
      <w:proofErr w:type="spellStart"/>
      <w:r w:rsidRPr="00D873EC">
        <w:rPr>
          <w:rFonts w:ascii="Arial" w:hAnsi="Arial" w:cs="Arial"/>
          <w:sz w:val="22"/>
          <w:szCs w:val="22"/>
        </w:rPr>
        <w:t>AgRg</w:t>
      </w:r>
      <w:proofErr w:type="spellEnd"/>
      <w:r w:rsidRPr="00D873EC">
        <w:rPr>
          <w:rFonts w:ascii="Arial" w:hAnsi="Arial" w:cs="Arial"/>
          <w:sz w:val="22"/>
          <w:szCs w:val="22"/>
        </w:rPr>
        <w:t xml:space="preserve"> nos </w:t>
      </w:r>
      <w:proofErr w:type="spellStart"/>
      <w:r w:rsidRPr="00D873EC">
        <w:rPr>
          <w:rFonts w:ascii="Arial" w:hAnsi="Arial" w:cs="Arial"/>
          <w:sz w:val="22"/>
          <w:szCs w:val="22"/>
        </w:rPr>
        <w:t>EREsp</w:t>
      </w:r>
      <w:proofErr w:type="spellEnd"/>
      <w:r w:rsidRPr="00D873EC">
        <w:rPr>
          <w:rFonts w:ascii="Arial" w:hAnsi="Arial" w:cs="Arial"/>
          <w:sz w:val="22"/>
          <w:szCs w:val="22"/>
        </w:rPr>
        <w:t xml:space="preserve"> 707.848/SC, Rel. Ministro Gilson </w:t>
      </w:r>
      <w:proofErr w:type="spellStart"/>
      <w:r w:rsidRPr="00D873EC">
        <w:rPr>
          <w:rFonts w:ascii="Arial" w:hAnsi="Arial" w:cs="Arial"/>
          <w:sz w:val="22"/>
          <w:szCs w:val="22"/>
        </w:rPr>
        <w:t>Dipp</w:t>
      </w:r>
      <w:proofErr w:type="spellEnd"/>
      <w:r w:rsidRPr="00D873EC">
        <w:rPr>
          <w:rFonts w:ascii="Arial" w:hAnsi="Arial" w:cs="Arial"/>
          <w:sz w:val="22"/>
          <w:szCs w:val="22"/>
        </w:rPr>
        <w:t xml:space="preserve">, julgado em 06.12.2006, DJ 05.02.2007; </w:t>
      </w:r>
      <w:proofErr w:type="spellStart"/>
      <w:r w:rsidRPr="00D873EC">
        <w:rPr>
          <w:rFonts w:ascii="Arial" w:hAnsi="Arial" w:cs="Arial"/>
          <w:sz w:val="22"/>
          <w:szCs w:val="22"/>
        </w:rPr>
        <w:t>EDcl</w:t>
      </w:r>
      <w:proofErr w:type="spellEnd"/>
      <w:r w:rsidRPr="00D873EC">
        <w:rPr>
          <w:rFonts w:ascii="Arial" w:hAnsi="Arial" w:cs="Arial"/>
          <w:sz w:val="22"/>
          <w:szCs w:val="22"/>
        </w:rPr>
        <w:t xml:space="preserve"> na SEC 968/EX, Rel. Ministro Felix Fischer, julgado em 23.11.2006, DJ 05.02.2007; e </w:t>
      </w:r>
      <w:proofErr w:type="spellStart"/>
      <w:r w:rsidRPr="00D873EC">
        <w:rPr>
          <w:rFonts w:ascii="Arial" w:hAnsi="Arial" w:cs="Arial"/>
          <w:sz w:val="22"/>
          <w:szCs w:val="22"/>
        </w:rPr>
        <w:t>EDcl</w:t>
      </w:r>
      <w:proofErr w:type="spellEnd"/>
      <w:r w:rsidRPr="00D873EC">
        <w:rPr>
          <w:rFonts w:ascii="Arial" w:hAnsi="Arial" w:cs="Arial"/>
          <w:sz w:val="22"/>
          <w:szCs w:val="22"/>
        </w:rPr>
        <w:t xml:space="preserve"> nos </w:t>
      </w:r>
      <w:proofErr w:type="spellStart"/>
      <w:r w:rsidRPr="00D873EC">
        <w:rPr>
          <w:rFonts w:ascii="Arial" w:hAnsi="Arial" w:cs="Arial"/>
          <w:sz w:val="22"/>
          <w:szCs w:val="22"/>
        </w:rPr>
        <w:t>EREsp</w:t>
      </w:r>
      <w:proofErr w:type="spellEnd"/>
      <w:r w:rsidRPr="00D873EC">
        <w:rPr>
          <w:rFonts w:ascii="Arial" w:hAnsi="Arial" w:cs="Arial"/>
          <w:sz w:val="22"/>
          <w:szCs w:val="22"/>
        </w:rPr>
        <w:t xml:space="preserve"> 579.833/BA, Rel.Ministro Luiz </w:t>
      </w:r>
      <w:proofErr w:type="spellStart"/>
      <w:r w:rsidRPr="00D873EC">
        <w:rPr>
          <w:rFonts w:ascii="Arial" w:hAnsi="Arial" w:cs="Arial"/>
          <w:sz w:val="22"/>
          <w:szCs w:val="22"/>
        </w:rPr>
        <w:t>Fux</w:t>
      </w:r>
      <w:proofErr w:type="spellEnd"/>
      <w:r w:rsidRPr="00D873EC">
        <w:rPr>
          <w:rFonts w:ascii="Arial" w:hAnsi="Arial" w:cs="Arial"/>
          <w:sz w:val="22"/>
          <w:szCs w:val="22"/>
        </w:rPr>
        <w:t xml:space="preserve">, Corte Especial, julgado em 04.10.2006, DJ 04.12.2006).4. </w:t>
      </w:r>
      <w:proofErr w:type="gramStart"/>
      <w:r w:rsidRPr="00D873EC">
        <w:rPr>
          <w:rFonts w:ascii="Arial" w:hAnsi="Arial" w:cs="Arial"/>
          <w:sz w:val="22"/>
          <w:szCs w:val="22"/>
        </w:rPr>
        <w:t>Embargos de declaração rejeitados”</w:t>
      </w:r>
      <w:proofErr w:type="gramEnd"/>
      <w:r w:rsidRPr="00D873EC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D873EC">
        <w:rPr>
          <w:rFonts w:ascii="Arial" w:hAnsi="Arial" w:cs="Arial"/>
          <w:sz w:val="22"/>
          <w:szCs w:val="22"/>
        </w:rPr>
        <w:t>EDcl</w:t>
      </w:r>
      <w:proofErr w:type="spellEnd"/>
      <w:r w:rsidRPr="00D873EC">
        <w:rPr>
          <w:rFonts w:ascii="Arial" w:hAnsi="Arial" w:cs="Arial"/>
          <w:sz w:val="22"/>
          <w:szCs w:val="22"/>
        </w:rPr>
        <w:t xml:space="preserve"> no </w:t>
      </w:r>
      <w:proofErr w:type="spellStart"/>
      <w:r w:rsidRPr="00D873EC">
        <w:rPr>
          <w:rFonts w:ascii="Arial" w:hAnsi="Arial" w:cs="Arial"/>
          <w:sz w:val="22"/>
          <w:szCs w:val="22"/>
        </w:rPr>
        <w:t>AgRg</w:t>
      </w:r>
      <w:proofErr w:type="spellEnd"/>
      <w:r w:rsidRPr="00D873EC">
        <w:rPr>
          <w:rFonts w:ascii="Arial" w:hAnsi="Arial" w:cs="Arial"/>
          <w:sz w:val="22"/>
          <w:szCs w:val="22"/>
        </w:rPr>
        <w:t xml:space="preserve"> no </w:t>
      </w:r>
      <w:proofErr w:type="spellStart"/>
      <w:r w:rsidRPr="00D873EC">
        <w:rPr>
          <w:rFonts w:ascii="Arial" w:hAnsi="Arial" w:cs="Arial"/>
          <w:sz w:val="22"/>
          <w:szCs w:val="22"/>
        </w:rPr>
        <w:t>REsp</w:t>
      </w:r>
      <w:proofErr w:type="spellEnd"/>
      <w:r w:rsidRPr="00D873EC">
        <w:rPr>
          <w:rFonts w:ascii="Arial" w:hAnsi="Arial" w:cs="Arial"/>
          <w:sz w:val="22"/>
          <w:szCs w:val="22"/>
        </w:rPr>
        <w:t xml:space="preserve"> 897.857/MG, Rel. Ministro LUIZ FUX, PRIMEIRA TURMA, julgado em 12/08/2008, </w:t>
      </w:r>
      <w:proofErr w:type="spellStart"/>
      <w:r w:rsidRPr="00D873EC">
        <w:rPr>
          <w:rFonts w:ascii="Arial" w:hAnsi="Arial" w:cs="Arial"/>
          <w:sz w:val="22"/>
          <w:szCs w:val="22"/>
        </w:rPr>
        <w:t>DJe</w:t>
      </w:r>
      <w:proofErr w:type="spellEnd"/>
      <w:r w:rsidRPr="00D873EC">
        <w:rPr>
          <w:rFonts w:ascii="Arial" w:hAnsi="Arial" w:cs="Arial"/>
          <w:sz w:val="22"/>
          <w:szCs w:val="22"/>
        </w:rPr>
        <w:t xml:space="preserve"> 15/09/2008).</w:t>
      </w:r>
    </w:p>
    <w:p w:rsidR="00A0164D" w:rsidRPr="00D873EC" w:rsidRDefault="00A0164D" w:rsidP="00A0164D">
      <w:pPr>
        <w:autoSpaceDE w:val="0"/>
        <w:autoSpaceDN w:val="0"/>
        <w:adjustRightInd w:val="0"/>
        <w:spacing w:after="120"/>
        <w:ind w:firstLine="1418"/>
        <w:jc w:val="both"/>
        <w:rPr>
          <w:rFonts w:ascii="Arial" w:hAnsi="Arial" w:cs="Arial"/>
          <w:sz w:val="22"/>
          <w:szCs w:val="22"/>
        </w:rPr>
      </w:pPr>
      <w:r w:rsidRPr="00D873EC">
        <w:rPr>
          <w:rFonts w:ascii="Arial" w:hAnsi="Arial" w:cs="Arial"/>
          <w:sz w:val="22"/>
          <w:szCs w:val="22"/>
        </w:rPr>
        <w:t>Cumpre ainda esclarecer que o dever de fundamentação das decisões judiciais, que consta expressamente do texto constitucional (CF, art. 93 inciso IX), não impõe ao magistrado a obrigação de utilizar-se dos fundamen</w:t>
      </w:r>
      <w:r>
        <w:rPr>
          <w:rFonts w:ascii="Arial" w:hAnsi="Arial" w:cs="Arial"/>
          <w:sz w:val="22"/>
          <w:szCs w:val="22"/>
        </w:rPr>
        <w:t>tos que as partes entendem ser</w:t>
      </w:r>
      <w:r w:rsidRPr="00D873EC">
        <w:rPr>
          <w:rFonts w:ascii="Arial" w:hAnsi="Arial" w:cs="Arial"/>
          <w:sz w:val="22"/>
          <w:szCs w:val="22"/>
        </w:rPr>
        <w:t xml:space="preserve"> os mais adequados. Basta que a fundamentação apresentada tenha sido suficientemente utilizada no deslinde da questão para que a norma constitucional seja observada em sua integralidade.</w:t>
      </w:r>
    </w:p>
    <w:p w:rsidR="00A0164D" w:rsidRPr="00D873EC" w:rsidRDefault="00A0164D" w:rsidP="00A0164D">
      <w:pPr>
        <w:autoSpaceDE w:val="0"/>
        <w:autoSpaceDN w:val="0"/>
        <w:adjustRightInd w:val="0"/>
        <w:spacing w:after="120"/>
        <w:ind w:firstLine="1418"/>
        <w:jc w:val="both"/>
        <w:rPr>
          <w:rFonts w:ascii="Arial" w:hAnsi="Arial" w:cs="Arial"/>
          <w:sz w:val="22"/>
          <w:szCs w:val="22"/>
        </w:rPr>
      </w:pPr>
      <w:r w:rsidRPr="00D873EC">
        <w:rPr>
          <w:rFonts w:ascii="Arial" w:hAnsi="Arial" w:cs="Arial"/>
          <w:sz w:val="22"/>
          <w:szCs w:val="22"/>
        </w:rPr>
        <w:lastRenderedPageBreak/>
        <w:t xml:space="preserve">Ressalto, ainda, que: </w:t>
      </w:r>
      <w:r w:rsidRPr="00D873EC">
        <w:rPr>
          <w:rFonts w:ascii="Arial" w:hAnsi="Arial" w:cs="Arial"/>
          <w:i/>
          <w:iCs/>
          <w:sz w:val="22"/>
          <w:szCs w:val="22"/>
        </w:rPr>
        <w:t xml:space="preserve">“(...) </w:t>
      </w:r>
      <w:proofErr w:type="gramStart"/>
      <w:r w:rsidRPr="00D873EC">
        <w:rPr>
          <w:rFonts w:ascii="Arial" w:hAnsi="Arial" w:cs="Arial"/>
          <w:i/>
          <w:iCs/>
          <w:sz w:val="22"/>
          <w:szCs w:val="22"/>
        </w:rPr>
        <w:t>1</w:t>
      </w:r>
      <w:proofErr w:type="gramEnd"/>
      <w:r w:rsidRPr="00D873EC">
        <w:rPr>
          <w:rFonts w:ascii="Arial" w:hAnsi="Arial" w:cs="Arial"/>
          <w:i/>
          <w:iCs/>
          <w:sz w:val="22"/>
          <w:szCs w:val="22"/>
        </w:rPr>
        <w:t xml:space="preserve">. Descabe, em sede de embargos de declaração, a rediscussão de matéria meritória, exaustivamente analisada pelo acórdão embargado. (...) 3. Embargos de declaração rejeitados. (...)”. </w:t>
      </w:r>
      <w:r w:rsidRPr="00D873EC">
        <w:rPr>
          <w:rFonts w:ascii="Arial" w:hAnsi="Arial" w:cs="Arial"/>
          <w:sz w:val="22"/>
          <w:szCs w:val="22"/>
        </w:rPr>
        <w:t>(</w:t>
      </w:r>
      <w:r w:rsidRPr="00D873EC">
        <w:rPr>
          <w:rFonts w:ascii="Arial" w:hAnsi="Arial" w:cs="Arial"/>
          <w:b/>
          <w:bCs/>
          <w:sz w:val="22"/>
          <w:szCs w:val="22"/>
        </w:rPr>
        <w:t xml:space="preserve">in </w:t>
      </w:r>
      <w:r w:rsidRPr="00D873EC">
        <w:rPr>
          <w:rFonts w:ascii="Arial" w:hAnsi="Arial" w:cs="Arial"/>
          <w:sz w:val="22"/>
          <w:szCs w:val="22"/>
        </w:rPr>
        <w:t xml:space="preserve">EDRESP 200900458330 EDRESP - EMBARGOS DE DECLARAÇÃO NO RECURSO ESPECIAL – 1127913 - </w:t>
      </w:r>
      <w:proofErr w:type="gramStart"/>
      <w:r w:rsidRPr="00D873EC">
        <w:rPr>
          <w:rFonts w:ascii="Arial" w:hAnsi="Arial" w:cs="Arial"/>
          <w:sz w:val="22"/>
          <w:szCs w:val="22"/>
        </w:rPr>
        <w:t>Relator(</w:t>
      </w:r>
      <w:proofErr w:type="gramEnd"/>
      <w:r w:rsidRPr="00D873EC">
        <w:rPr>
          <w:rFonts w:ascii="Arial" w:hAnsi="Arial" w:cs="Arial"/>
          <w:sz w:val="22"/>
          <w:szCs w:val="22"/>
        </w:rPr>
        <w:t>a) LUIS FELIPE SALOMÃO Órgão julgador QUARTA TURMA Fonte DJE DATA:04/02/2013).</w:t>
      </w:r>
    </w:p>
    <w:p w:rsidR="00A0164D" w:rsidRPr="00D873EC" w:rsidRDefault="00A0164D" w:rsidP="00A0164D">
      <w:pPr>
        <w:autoSpaceDE w:val="0"/>
        <w:autoSpaceDN w:val="0"/>
        <w:adjustRightInd w:val="0"/>
        <w:spacing w:after="60"/>
        <w:ind w:firstLine="1418"/>
        <w:jc w:val="both"/>
        <w:rPr>
          <w:rFonts w:ascii="Arial" w:hAnsi="Arial" w:cs="Arial"/>
          <w:sz w:val="22"/>
          <w:szCs w:val="22"/>
        </w:rPr>
      </w:pPr>
      <w:r w:rsidRPr="00D873EC">
        <w:rPr>
          <w:rFonts w:ascii="Arial" w:hAnsi="Arial" w:cs="Arial"/>
          <w:sz w:val="22"/>
          <w:szCs w:val="22"/>
        </w:rPr>
        <w:t>Desta fei</w:t>
      </w:r>
      <w:r>
        <w:rPr>
          <w:rFonts w:ascii="Arial" w:hAnsi="Arial" w:cs="Arial"/>
          <w:sz w:val="22"/>
          <w:szCs w:val="22"/>
        </w:rPr>
        <w:t xml:space="preserve">ta, não há omissão, contradição, </w:t>
      </w:r>
      <w:r w:rsidRPr="00D873EC">
        <w:rPr>
          <w:rFonts w:ascii="Arial" w:hAnsi="Arial" w:cs="Arial"/>
          <w:sz w:val="22"/>
          <w:szCs w:val="22"/>
        </w:rPr>
        <w:t xml:space="preserve">obscuridade </w:t>
      </w:r>
      <w:r>
        <w:rPr>
          <w:rFonts w:ascii="Arial" w:hAnsi="Arial" w:cs="Arial"/>
          <w:sz w:val="22"/>
          <w:szCs w:val="22"/>
        </w:rPr>
        <w:t xml:space="preserve">ou erro material </w:t>
      </w:r>
      <w:r w:rsidRPr="00D873EC">
        <w:rPr>
          <w:rFonts w:ascii="Arial" w:hAnsi="Arial" w:cs="Arial"/>
          <w:sz w:val="22"/>
          <w:szCs w:val="22"/>
        </w:rPr>
        <w:t xml:space="preserve">a </w:t>
      </w:r>
      <w:proofErr w:type="gramStart"/>
      <w:r w:rsidRPr="00D873EC">
        <w:rPr>
          <w:rFonts w:ascii="Arial" w:hAnsi="Arial" w:cs="Arial"/>
          <w:sz w:val="22"/>
          <w:szCs w:val="22"/>
        </w:rPr>
        <w:t>ser</w:t>
      </w:r>
      <w:r>
        <w:rPr>
          <w:rFonts w:ascii="Arial" w:hAnsi="Arial" w:cs="Arial"/>
          <w:sz w:val="22"/>
          <w:szCs w:val="22"/>
        </w:rPr>
        <w:t>em</w:t>
      </w:r>
      <w:proofErr w:type="gramEnd"/>
      <w:r>
        <w:rPr>
          <w:rFonts w:ascii="Arial" w:hAnsi="Arial" w:cs="Arial"/>
          <w:sz w:val="22"/>
          <w:szCs w:val="22"/>
        </w:rPr>
        <w:t xml:space="preserve"> sanados</w:t>
      </w:r>
      <w:r w:rsidRPr="00D873EC">
        <w:rPr>
          <w:rFonts w:ascii="Arial" w:hAnsi="Arial" w:cs="Arial"/>
          <w:sz w:val="22"/>
          <w:szCs w:val="22"/>
        </w:rPr>
        <w:t>, vez que o julgado atacado abordou todos os pontos necessários à resolução da lide, de forma completa e clara.</w:t>
      </w:r>
    </w:p>
    <w:p w:rsidR="00A0164D" w:rsidRPr="00D873EC" w:rsidRDefault="00A0164D" w:rsidP="00A0164D">
      <w:pPr>
        <w:autoSpaceDE w:val="0"/>
        <w:autoSpaceDN w:val="0"/>
        <w:adjustRightInd w:val="0"/>
        <w:spacing w:after="60"/>
        <w:ind w:firstLine="1418"/>
        <w:jc w:val="both"/>
        <w:rPr>
          <w:rFonts w:ascii="Arial" w:hAnsi="Arial" w:cs="Arial"/>
          <w:sz w:val="22"/>
          <w:szCs w:val="22"/>
        </w:rPr>
      </w:pPr>
      <w:r w:rsidRPr="00D873EC">
        <w:rPr>
          <w:rFonts w:ascii="Arial" w:hAnsi="Arial" w:cs="Arial"/>
          <w:sz w:val="22"/>
          <w:szCs w:val="22"/>
        </w:rPr>
        <w:t>Verifica-se, na verdade, que a finalidade dos presentes embargos de declaração não é a de sanar eventuais erros no julgado, mas tão somente a reapreciação dos termos do acórdão.</w:t>
      </w:r>
    </w:p>
    <w:p w:rsidR="00A0164D" w:rsidRPr="00D873EC" w:rsidRDefault="00A0164D" w:rsidP="00A0164D">
      <w:pPr>
        <w:autoSpaceDE w:val="0"/>
        <w:autoSpaceDN w:val="0"/>
        <w:adjustRightInd w:val="0"/>
        <w:spacing w:after="60"/>
        <w:ind w:firstLine="1418"/>
        <w:jc w:val="both"/>
        <w:rPr>
          <w:rFonts w:ascii="Arial" w:hAnsi="Arial" w:cs="Arial"/>
          <w:sz w:val="22"/>
          <w:szCs w:val="22"/>
        </w:rPr>
      </w:pPr>
      <w:r w:rsidRPr="00D873EC">
        <w:rPr>
          <w:rFonts w:ascii="Arial" w:hAnsi="Arial" w:cs="Arial"/>
          <w:sz w:val="22"/>
          <w:szCs w:val="22"/>
        </w:rPr>
        <w:t xml:space="preserve">Pelo exposto, </w:t>
      </w:r>
      <w:r w:rsidRPr="00D873EC">
        <w:rPr>
          <w:rFonts w:ascii="Arial" w:hAnsi="Arial" w:cs="Arial"/>
          <w:b/>
          <w:bCs/>
          <w:sz w:val="22"/>
          <w:szCs w:val="22"/>
        </w:rPr>
        <w:t xml:space="preserve">NEGO PROVIMENTO </w:t>
      </w:r>
      <w:r w:rsidRPr="00D873EC">
        <w:rPr>
          <w:rFonts w:ascii="Arial" w:hAnsi="Arial" w:cs="Arial"/>
          <w:sz w:val="22"/>
          <w:szCs w:val="22"/>
        </w:rPr>
        <w:t>aos embargos de declaração.</w:t>
      </w:r>
    </w:p>
    <w:p w:rsidR="00A0164D" w:rsidRPr="00D873EC" w:rsidRDefault="00A0164D" w:rsidP="00A0164D">
      <w:pPr>
        <w:autoSpaceDE w:val="0"/>
        <w:autoSpaceDN w:val="0"/>
        <w:adjustRightInd w:val="0"/>
        <w:spacing w:after="60"/>
        <w:ind w:firstLine="1418"/>
        <w:jc w:val="both"/>
        <w:rPr>
          <w:rFonts w:ascii="Arial" w:hAnsi="Arial" w:cs="Arial"/>
          <w:sz w:val="22"/>
          <w:szCs w:val="22"/>
        </w:rPr>
      </w:pPr>
      <w:r w:rsidRPr="00D873EC">
        <w:rPr>
          <w:rFonts w:ascii="Arial" w:hAnsi="Arial" w:cs="Arial"/>
          <w:sz w:val="22"/>
          <w:szCs w:val="22"/>
        </w:rPr>
        <w:t>É o voto.</w:t>
      </w:r>
    </w:p>
    <w:p w:rsidR="00A0164D" w:rsidRPr="00CD5B08" w:rsidRDefault="00A0164D" w:rsidP="00A0164D">
      <w:pPr>
        <w:pStyle w:val="Identificao"/>
      </w:pPr>
    </w:p>
    <w:p w:rsidR="00A0164D" w:rsidRDefault="00A0164D" w:rsidP="00A0164D">
      <w:pPr>
        <w:pStyle w:val="Identificao"/>
      </w:pPr>
    </w:p>
    <w:p w:rsidR="0015179D" w:rsidRPr="00A0164D" w:rsidRDefault="0015179D" w:rsidP="00A0164D">
      <w:pPr>
        <w:pStyle w:val="Identificao"/>
      </w:pPr>
    </w:p>
    <w:sectPr w:rsidR="0015179D" w:rsidRPr="00A0164D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164D" w:rsidRDefault="00A0164D">
      <w:r>
        <w:separator/>
      </w:r>
    </w:p>
  </w:endnote>
  <w:endnote w:type="continuationSeparator" w:id="0">
    <w:p w:rsidR="00A0164D" w:rsidRDefault="00A016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BB2E6E"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 w:rsidR="00BB2E6E">
      <w:rPr>
        <w:rFonts w:ascii="Arial" w:hAnsi="Arial"/>
        <w:sz w:val="10"/>
      </w:rPr>
      <w:fldChar w:fldCharType="separate"/>
    </w:r>
    <w:r w:rsidR="00B17DF0">
      <w:rPr>
        <w:rFonts w:ascii="Arial" w:hAnsi="Arial"/>
        <w:noProof/>
        <w:sz w:val="10"/>
      </w:rPr>
      <w:t>W:\SECRETARIA\relatório, voto e ementa\2014\ED 0007484.docx</w:t>
    </w:r>
    <w:r w:rsidR="00BB2E6E"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BB2E6E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 w:rsidR="00BB2E6E">
      <w:rPr>
        <w:rFonts w:ascii="Arial" w:hAnsi="Arial"/>
        <w:sz w:val="13"/>
      </w:rPr>
      <w:fldChar w:fldCharType="separate"/>
    </w:r>
    <w:r w:rsidR="00B17DF0">
      <w:rPr>
        <w:rFonts w:ascii="Arial" w:hAnsi="Arial"/>
        <w:noProof/>
        <w:sz w:val="13"/>
      </w:rPr>
      <w:t>W:\SECRETARIA\relatório, voto e ementa\2014\ED 0007484.docx</w:t>
    </w:r>
    <w:r w:rsidR="00BB2E6E">
      <w:rPr>
        <w:rFonts w:ascii="Arial" w:hAnsi="Arial"/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 w:rsidR="00BB2E6E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 w:rsidR="00BB2E6E">
      <w:rPr>
        <w:rFonts w:ascii="Arial" w:hAnsi="Arial"/>
        <w:sz w:val="13"/>
      </w:rPr>
      <w:fldChar w:fldCharType="separate"/>
    </w:r>
    <w:r w:rsidR="00B17DF0">
      <w:rPr>
        <w:rFonts w:ascii="Arial" w:hAnsi="Arial"/>
        <w:noProof/>
        <w:sz w:val="13"/>
      </w:rPr>
      <w:t>tr24520es</w:t>
    </w:r>
    <w:r w:rsidR="00BB2E6E"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164D" w:rsidRDefault="00A0164D">
      <w:r>
        <w:separator/>
      </w:r>
    </w:p>
  </w:footnote>
  <w:footnote w:type="continuationSeparator" w:id="0">
    <w:p w:rsidR="00A0164D" w:rsidRDefault="00A016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 w:rsidR="00BB2E6E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 w:rsidR="00BB2E6E">
      <w:rPr>
        <w:rFonts w:ascii="Arial" w:hAnsi="Arial" w:cs="Arial"/>
        <w:bCs/>
        <w:sz w:val="16"/>
      </w:rPr>
      <w:fldChar w:fldCharType="separate"/>
    </w:r>
    <w:r w:rsidR="00FD2107">
      <w:rPr>
        <w:rFonts w:ascii="Arial" w:hAnsi="Arial" w:cs="Arial"/>
        <w:bCs/>
        <w:noProof/>
        <w:sz w:val="16"/>
      </w:rPr>
      <w:t>2</w:t>
    </w:r>
    <w:r w:rsidR="00BB2E6E"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 w:rsidR="00BB2E6E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 w:rsidR="00BB2E6E">
      <w:rPr>
        <w:rFonts w:ascii="Arial" w:hAnsi="Arial" w:cs="Arial"/>
        <w:bCs/>
        <w:sz w:val="16"/>
      </w:rPr>
      <w:fldChar w:fldCharType="separate"/>
    </w:r>
    <w:r w:rsidR="00FD2107">
      <w:rPr>
        <w:rFonts w:ascii="Arial" w:hAnsi="Arial" w:cs="Arial"/>
        <w:bCs/>
        <w:noProof/>
        <w:sz w:val="16"/>
      </w:rPr>
      <w:t>3</w:t>
    </w:r>
    <w:r w:rsidR="00BB2E6E"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164D" w:rsidRPr="00A0164D" w:rsidRDefault="00A0164D" w:rsidP="00A0164D">
    <w:pPr>
      <w:jc w:val="right"/>
      <w:rPr>
        <w:rFonts w:ascii="Interleaved 2of5" w:hAnsi="Interleaved 2of5"/>
        <w:sz w:val="48"/>
      </w:rPr>
    </w:pPr>
    <w:r w:rsidRPr="00A0164D">
      <w:rPr>
        <w:rFonts w:ascii="Interleaved 2of5" w:hAnsi="Interleaved 2of5"/>
        <w:sz w:val="48"/>
      </w:rPr>
      <w:t>(</w:t>
    </w:r>
    <w:proofErr w:type="gramStart"/>
    <w:r w:rsidRPr="00A0164D">
      <w:rPr>
        <w:rFonts w:ascii="Interleaved 2of5" w:hAnsi="Interleaved 2of5"/>
        <w:sz w:val="48"/>
      </w:rPr>
      <w:t>7</w:t>
    </w:r>
    <w:proofErr w:type="gramEnd"/>
    <w:r w:rsidRPr="00A0164D">
      <w:rPr>
        <w:rFonts w:ascii="Interleaved 2of5" w:hAnsi="Interleaved 2of5"/>
        <w:sz w:val="48"/>
      </w:rPr>
      <w:t>`^à1\1U0)</w:t>
    </w:r>
  </w:p>
  <w:p w:rsidR="004554A7" w:rsidRDefault="00A0164D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61442F" w:rsidRDefault="00413610" w:rsidP="004554A7">
    <w:pPr>
      <w:jc w:val="center"/>
      <w:rPr>
        <w:rFonts w:ascii="Arial" w:hAnsi="Arial"/>
        <w:b/>
        <w:sz w:val="20"/>
      </w:rPr>
    </w:pPr>
    <w:r>
      <w:rPr>
        <w:rFonts w:ascii="Arial" w:hAnsi="Arial"/>
        <w:b/>
        <w:sz w:val="20"/>
      </w:rPr>
      <w:t>TRIBUNAL REGIONAL FEDERAL DA PRIMEIRA REGIÃO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A1016"/>
    <w:rsid w:val="000F5B71"/>
    <w:rsid w:val="0015179D"/>
    <w:rsid w:val="00191A8C"/>
    <w:rsid w:val="001C5BD2"/>
    <w:rsid w:val="002331F7"/>
    <w:rsid w:val="00331079"/>
    <w:rsid w:val="00351D7E"/>
    <w:rsid w:val="003A1016"/>
    <w:rsid w:val="00413610"/>
    <w:rsid w:val="004269A8"/>
    <w:rsid w:val="004554A7"/>
    <w:rsid w:val="00462716"/>
    <w:rsid w:val="00471CDF"/>
    <w:rsid w:val="004C17AC"/>
    <w:rsid w:val="005E20DB"/>
    <w:rsid w:val="005E28BB"/>
    <w:rsid w:val="0061442F"/>
    <w:rsid w:val="006779DE"/>
    <w:rsid w:val="006A4ECE"/>
    <w:rsid w:val="006F2CDC"/>
    <w:rsid w:val="007A7066"/>
    <w:rsid w:val="007C3424"/>
    <w:rsid w:val="008713AE"/>
    <w:rsid w:val="00872397"/>
    <w:rsid w:val="008A3D69"/>
    <w:rsid w:val="008A6492"/>
    <w:rsid w:val="008C4395"/>
    <w:rsid w:val="009729C9"/>
    <w:rsid w:val="0099169E"/>
    <w:rsid w:val="00A0164D"/>
    <w:rsid w:val="00A70CFD"/>
    <w:rsid w:val="00B17DF0"/>
    <w:rsid w:val="00BB2E6E"/>
    <w:rsid w:val="00C5492A"/>
    <w:rsid w:val="00D221D6"/>
    <w:rsid w:val="00DD0AC9"/>
    <w:rsid w:val="00E850E4"/>
    <w:rsid w:val="00EE6447"/>
    <w:rsid w:val="00FD21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0164D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rsid w:val="000F5B71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rsid w:val="000F5B71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rsid w:val="000F5B71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0F5B71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rsid w:val="000F5B71"/>
    <w:pPr>
      <w:ind w:left="2835"/>
    </w:pPr>
  </w:style>
  <w:style w:type="paragraph" w:customStyle="1" w:styleId="transcrio3">
    <w:name w:val="transcrição 3"/>
    <w:basedOn w:val="Identificao"/>
    <w:rsid w:val="000F5B71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0F5B71"/>
    <w:pPr>
      <w:ind w:left="4536"/>
    </w:pPr>
  </w:style>
  <w:style w:type="paragraph" w:customStyle="1" w:styleId="assinatura">
    <w:name w:val="assinatura"/>
    <w:basedOn w:val="Pargrafo"/>
    <w:rsid w:val="000F5B71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0F5B71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A0164D"/>
    <w:rPr>
      <w:rFonts w:ascii="Consolas" w:eastAsiaTheme="minorHAnsi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A0164D"/>
    <w:rPr>
      <w:rFonts w:ascii="Consolas" w:eastAsiaTheme="minorHAnsi" w:hAnsi="Consolas" w:cs="Consolas"/>
      <w:sz w:val="21"/>
      <w:szCs w:val="21"/>
      <w:lang w:eastAsia="en-US"/>
    </w:rPr>
  </w:style>
  <w:style w:type="character" w:customStyle="1" w:styleId="PargrafoChar">
    <w:name w:val="Parágrafo Char"/>
    <w:basedOn w:val="Fontepargpadro"/>
    <w:link w:val="Pargrafo"/>
    <w:locked/>
    <w:rsid w:val="00A0164D"/>
    <w:rPr>
      <w:rFonts w:ascii="Arial" w:hAnsi="Arial"/>
      <w:sz w:val="22"/>
      <w:szCs w:val="24"/>
    </w:rPr>
  </w:style>
  <w:style w:type="paragraph" w:styleId="Textodebalo">
    <w:name w:val="Balloon Text"/>
    <w:basedOn w:val="Normal"/>
    <w:link w:val="TextodebaloChar"/>
    <w:rsid w:val="003A10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3A10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0</TotalTime>
  <Pages>3</Pages>
  <Words>1104</Words>
  <Characters>6138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7228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tr24520es</dc:creator>
  <cp:lastModifiedBy>tr13740ps</cp:lastModifiedBy>
  <cp:revision>2</cp:revision>
  <cp:lastPrinted>2016-08-19T17:01:00Z</cp:lastPrinted>
  <dcterms:created xsi:type="dcterms:W3CDTF">2016-08-23T17:12:00Z</dcterms:created>
  <dcterms:modified xsi:type="dcterms:W3CDTF">2016-08-23T17:12:00Z</dcterms:modified>
</cp:coreProperties>
</file>