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53C" w:rsidRPr="008B053C" w:rsidRDefault="008B053C" w:rsidP="008B053C">
      <w:pPr>
        <w:pStyle w:val="Identificao"/>
      </w:pPr>
      <w:r w:rsidRPr="008B053C">
        <w:t xml:space="preserve">Numeração Única: 42844720144013314 </w:t>
      </w:r>
    </w:p>
    <w:p w:rsidR="008B053C" w:rsidRPr="008B053C" w:rsidRDefault="008B053C" w:rsidP="008B053C">
      <w:pPr>
        <w:pStyle w:val="Identificao"/>
      </w:pPr>
      <w:r w:rsidRPr="008B053C">
        <w:t>APELAÇÃO/REEXAME NECESSÁRIO  0004284-47.2014.4.01.3314/BA</w:t>
      </w:r>
    </w:p>
    <w:p w:rsidR="008B053C" w:rsidRPr="008B053C" w:rsidRDefault="008B053C" w:rsidP="008B053C">
      <w:pPr>
        <w:pStyle w:val="Identificao"/>
      </w:pPr>
      <w:r w:rsidRPr="008B053C">
        <w:t>Processo na Origem: 42844720144013314</w:t>
      </w:r>
    </w:p>
    <w:p w:rsidR="008B053C" w:rsidRPr="008B053C" w:rsidRDefault="008B053C" w:rsidP="008B053C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8B053C" w:rsidRPr="008B053C" w:rsidTr="008B053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RELATOR(A)</w:t>
            </w:r>
          </w:p>
        </w:tc>
        <w:tc>
          <w:tcPr>
            <w:tcW w:w="3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:</w:t>
            </w:r>
          </w:p>
        </w:tc>
        <w:tc>
          <w:tcPr>
            <w:tcW w:w="76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JUIZ FEDERAL CRISTIANO MIRANDA DE SANTANA</w:t>
            </w:r>
          </w:p>
        </w:tc>
      </w:tr>
      <w:tr w:rsidR="008B053C" w:rsidRPr="008B053C" w:rsidTr="008B053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APELANTE</w:t>
            </w:r>
          </w:p>
        </w:tc>
        <w:tc>
          <w:tcPr>
            <w:tcW w:w="3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:</w:t>
            </w:r>
          </w:p>
        </w:tc>
        <w:tc>
          <w:tcPr>
            <w:tcW w:w="76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 xml:space="preserve">INSTITUTO NACIONAL DO SEGURO SOCIAL - INSS </w:t>
            </w:r>
          </w:p>
        </w:tc>
      </w:tr>
      <w:tr w:rsidR="008B053C" w:rsidRPr="008B053C" w:rsidTr="008B053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PROCURADOR</w:t>
            </w:r>
          </w:p>
        </w:tc>
        <w:tc>
          <w:tcPr>
            <w:tcW w:w="3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:</w:t>
            </w:r>
          </w:p>
        </w:tc>
        <w:tc>
          <w:tcPr>
            <w:tcW w:w="76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 xml:space="preserve">PROCURADORIA REGIONAL FEDERAL DA 1ª REGIÃO </w:t>
            </w:r>
          </w:p>
        </w:tc>
      </w:tr>
      <w:tr w:rsidR="008B053C" w:rsidRPr="008B053C" w:rsidTr="008B053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APELADO</w:t>
            </w:r>
          </w:p>
        </w:tc>
        <w:tc>
          <w:tcPr>
            <w:tcW w:w="3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:</w:t>
            </w:r>
          </w:p>
        </w:tc>
        <w:tc>
          <w:tcPr>
            <w:tcW w:w="76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 xml:space="preserve">ARNALDO TAVARES DE JESUS </w:t>
            </w:r>
          </w:p>
        </w:tc>
      </w:tr>
      <w:tr w:rsidR="008B053C" w:rsidRPr="008B053C" w:rsidTr="008B053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ADVOGADO</w:t>
            </w:r>
          </w:p>
        </w:tc>
        <w:tc>
          <w:tcPr>
            <w:tcW w:w="3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:</w:t>
            </w:r>
          </w:p>
        </w:tc>
        <w:tc>
          <w:tcPr>
            <w:tcW w:w="76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 xml:space="preserve">BA00028497 - CATIA REGINA DE SOUZA BOHNKE </w:t>
            </w:r>
          </w:p>
        </w:tc>
      </w:tr>
      <w:tr w:rsidR="008B053C" w:rsidRPr="008B053C" w:rsidTr="008B053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REC. ADESIVO</w:t>
            </w:r>
          </w:p>
        </w:tc>
        <w:tc>
          <w:tcPr>
            <w:tcW w:w="3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:</w:t>
            </w:r>
          </w:p>
        </w:tc>
        <w:tc>
          <w:tcPr>
            <w:tcW w:w="76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 xml:space="preserve">ARNALDO TAVARES DE JESUS </w:t>
            </w:r>
          </w:p>
        </w:tc>
      </w:tr>
      <w:tr w:rsidR="008B053C" w:rsidRPr="008B053C" w:rsidTr="008B053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REMETENTE</w:t>
            </w:r>
          </w:p>
        </w:tc>
        <w:tc>
          <w:tcPr>
            <w:tcW w:w="3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>:</w:t>
            </w:r>
          </w:p>
        </w:tc>
        <w:tc>
          <w:tcPr>
            <w:tcW w:w="7600" w:type="dxa"/>
            <w:shd w:val="clear" w:color="auto" w:fill="auto"/>
          </w:tcPr>
          <w:p w:rsidR="008B053C" w:rsidRPr="008B053C" w:rsidRDefault="008B053C" w:rsidP="008B053C">
            <w:pPr>
              <w:pStyle w:val="Identificao"/>
            </w:pPr>
            <w:r w:rsidRPr="008B053C">
              <w:t xml:space="preserve">JUIZO FEDERAL DA SUBSECAO JUDICIARIA DE ALAGOINHAS - BA </w:t>
            </w:r>
          </w:p>
        </w:tc>
      </w:tr>
    </w:tbl>
    <w:p w:rsidR="008B053C" w:rsidRPr="008B053C" w:rsidRDefault="008B053C" w:rsidP="008B053C">
      <w:pPr>
        <w:spacing w:before="360" w:after="360"/>
        <w:jc w:val="center"/>
        <w:rPr>
          <w:rFonts w:ascii="Arial" w:eastAsia="Times New Roman" w:hAnsi="Arial" w:cs="Arial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>RELATÓRIO</w:t>
      </w:r>
    </w:p>
    <w:p w:rsidR="008B053C" w:rsidRPr="008B053C" w:rsidRDefault="008B053C" w:rsidP="008B053C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>EXM. SR. JUIZ FEDERAL CRISTIANO MIRANDA DE SANTANA, RELATOR:</w:t>
      </w:r>
    </w:p>
    <w:p w:rsidR="008B053C" w:rsidRPr="008B053C" w:rsidRDefault="008B053C" w:rsidP="008B053C">
      <w:pPr>
        <w:spacing w:after="0" w:line="360" w:lineRule="auto"/>
        <w:ind w:right="98" w:firstLine="1418"/>
        <w:jc w:val="both"/>
        <w:rPr>
          <w:rFonts w:ascii="Arial" w:hAnsi="Arial" w:cs="Arial"/>
          <w:lang w:eastAsia="pt-BR"/>
        </w:rPr>
      </w:pPr>
      <w:r w:rsidRPr="008B053C">
        <w:rPr>
          <w:rFonts w:ascii="Arial" w:hAnsi="Arial" w:cs="Arial"/>
          <w:lang w:eastAsia="pt-BR"/>
        </w:rPr>
        <w:t xml:space="preserve">A parte ré apelou da sentença, pugnando por sua integral reforma. </w:t>
      </w:r>
    </w:p>
    <w:p w:rsidR="008B053C" w:rsidRPr="008B053C" w:rsidRDefault="008B053C" w:rsidP="008B053C">
      <w:pPr>
        <w:spacing w:after="0" w:line="360" w:lineRule="auto"/>
        <w:ind w:right="98" w:firstLine="1418"/>
        <w:jc w:val="both"/>
        <w:rPr>
          <w:rFonts w:ascii="Arial" w:hAnsi="Arial" w:cs="Arial"/>
          <w:lang w:eastAsia="pt-BR"/>
        </w:rPr>
      </w:pPr>
      <w:r w:rsidRPr="008B053C">
        <w:rPr>
          <w:rFonts w:ascii="Arial" w:hAnsi="Arial" w:cs="Arial"/>
          <w:lang w:eastAsia="pt-BR"/>
        </w:rPr>
        <w:t>A parte autora também apelou, desejando a modificação do capítulo da sentença que disciplina os honorários advocatícios.</w:t>
      </w:r>
    </w:p>
    <w:p w:rsidR="008B053C" w:rsidRPr="008B053C" w:rsidRDefault="008B053C" w:rsidP="008B053C">
      <w:pPr>
        <w:spacing w:after="0" w:line="360" w:lineRule="auto"/>
        <w:ind w:right="98" w:firstLine="1418"/>
        <w:jc w:val="both"/>
        <w:rPr>
          <w:rFonts w:ascii="Arial" w:hAnsi="Arial" w:cs="Arial"/>
          <w:lang w:eastAsia="pt-BR"/>
        </w:rPr>
      </w:pPr>
      <w:r w:rsidRPr="008B053C">
        <w:rPr>
          <w:rFonts w:ascii="Arial" w:hAnsi="Arial" w:cs="Arial"/>
          <w:lang w:eastAsia="pt-BR"/>
        </w:rPr>
        <w:t>Escoado o prazo para oferta das contrarrazões, os autos foram encaminhados a esta Corte.</w:t>
      </w:r>
    </w:p>
    <w:p w:rsidR="008B053C" w:rsidRPr="008B053C" w:rsidRDefault="008B053C" w:rsidP="008B053C">
      <w:pPr>
        <w:spacing w:after="0" w:line="360" w:lineRule="auto"/>
        <w:ind w:right="98" w:firstLine="1418"/>
        <w:jc w:val="both"/>
        <w:rPr>
          <w:rFonts w:ascii="Arial" w:hAnsi="Arial" w:cs="Arial"/>
          <w:lang w:eastAsia="pt-BR"/>
        </w:rPr>
      </w:pPr>
      <w:r w:rsidRPr="008B053C">
        <w:rPr>
          <w:rFonts w:ascii="Arial" w:hAnsi="Arial" w:cs="Arial"/>
          <w:lang w:eastAsia="pt-BR"/>
        </w:rPr>
        <w:t>É o relatório.</w:t>
      </w:r>
    </w:p>
    <w:p w:rsidR="008B053C" w:rsidRPr="008B053C" w:rsidRDefault="008B053C" w:rsidP="008B053C">
      <w:pPr>
        <w:spacing w:after="0" w:line="360" w:lineRule="auto"/>
        <w:ind w:right="98"/>
        <w:jc w:val="center"/>
        <w:rPr>
          <w:rFonts w:ascii="Arial" w:eastAsia="Times New Roman" w:hAnsi="Arial" w:cs="Arial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>VOTO</w:t>
      </w:r>
    </w:p>
    <w:p w:rsidR="008B053C" w:rsidRPr="008B053C" w:rsidRDefault="008B053C" w:rsidP="008B053C">
      <w:pPr>
        <w:spacing w:before="120" w:after="120" w:line="36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>EXM. SR. JUIZ FEDERAL CRISTIANO MIRANDA DE SANTANA, RELATOR:</w:t>
      </w:r>
    </w:p>
    <w:p w:rsidR="008B053C" w:rsidRPr="008B053C" w:rsidRDefault="008B053C" w:rsidP="008B053C">
      <w:pPr>
        <w:spacing w:before="120" w:after="120" w:line="36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 xml:space="preserve">Os recursos devem ser conhecidos, pois preenchem os pressupostos de admissibilidade. Outrossim, não há que se falar em remessa oficial, pois a sentença está fundada em jurisprudência do plenário do Supremo Tribunal Federal, sendo perfeitamente aplicável ao caso o disposto no §3º do art. 475 do CPC/1973, então vigente. </w:t>
      </w:r>
    </w:p>
    <w:p w:rsidR="008B053C" w:rsidRPr="008B053C" w:rsidRDefault="008B053C" w:rsidP="008B053C">
      <w:pPr>
        <w:spacing w:before="120" w:after="120" w:line="360" w:lineRule="auto"/>
        <w:ind w:firstLine="1418"/>
        <w:jc w:val="both"/>
        <w:rPr>
          <w:rFonts w:ascii="Arial" w:hAnsi="Arial" w:cs="Arial"/>
        </w:rPr>
      </w:pPr>
      <w:r w:rsidRPr="008B053C">
        <w:rPr>
          <w:rFonts w:ascii="Arial" w:eastAsia="Times New Roman" w:hAnsi="Arial" w:cs="Arial"/>
          <w:lang w:eastAsia="pt-BR"/>
        </w:rPr>
        <w:t xml:space="preserve">Dito isso, avanço no exame da questão de logo ressaltando que não </w:t>
      </w:r>
      <w:r w:rsidRPr="008B053C">
        <w:rPr>
          <w:rFonts w:ascii="Arial" w:eastAsia="Times New Roman" w:hAnsi="Arial" w:cs="Arial"/>
          <w:shd w:val="clear" w:color="auto" w:fill="FFFFFF"/>
          <w:lang w:eastAsia="pt-BR"/>
        </w:rPr>
        <w:t xml:space="preserve">há decadência a ser pronunciada, pois a controvérsia não se atém </w:t>
      </w:r>
      <w:r w:rsidRPr="008B053C">
        <w:rPr>
          <w:rFonts w:ascii="Arial" w:hAnsi="Arial" w:cs="Arial"/>
        </w:rPr>
        <w:t xml:space="preserve">ao critério de cálculo do ato concessório, de modo que a natureza da causa é declaratória/condenatória, e não desconstitutiva. Portanto, </w:t>
      </w:r>
      <w:r w:rsidRPr="008B053C">
        <w:rPr>
          <w:rFonts w:ascii="Arial" w:hAnsi="Arial" w:cs="Arial"/>
        </w:rPr>
        <w:lastRenderedPageBreak/>
        <w:t>incabível a pronúncia da decadência, pois nas relações em que se busca tutela de conteúdo condenatório, incide somente a prescrição</w:t>
      </w:r>
      <w:r w:rsidRPr="008B053C">
        <w:rPr>
          <w:rFonts w:ascii="Arial" w:hAnsi="Arial" w:cs="Arial"/>
          <w:vertAlign w:val="superscript"/>
        </w:rPr>
        <w:footnoteReference w:id="1"/>
      </w:r>
      <w:r w:rsidRPr="008B053C">
        <w:rPr>
          <w:rFonts w:ascii="Arial" w:hAnsi="Arial" w:cs="Arial"/>
        </w:rPr>
        <w:t xml:space="preserve">. </w:t>
      </w:r>
    </w:p>
    <w:p w:rsidR="008B053C" w:rsidRPr="008B053C" w:rsidRDefault="008B053C" w:rsidP="008B053C">
      <w:pPr>
        <w:pStyle w:val="Pargrafo"/>
        <w:spacing w:before="0" w:after="0" w:line="360" w:lineRule="auto"/>
        <w:ind w:right="96"/>
        <w:rPr>
          <w:rFonts w:cs="Arial"/>
          <w:szCs w:val="22"/>
        </w:rPr>
      </w:pPr>
      <w:r w:rsidRPr="008B053C">
        <w:rPr>
          <w:rFonts w:cs="Arial"/>
          <w:szCs w:val="22"/>
        </w:rPr>
        <w:t xml:space="preserve">No mais, a questão de fundo já se encontra pacificada pelo STF. A decisão da E. Corte, que definiu a resolução jurídica do caso, fora assim ementada: </w:t>
      </w:r>
    </w:p>
    <w:p w:rsidR="008B053C" w:rsidRPr="008B053C" w:rsidRDefault="008B053C" w:rsidP="008B053C">
      <w:pPr>
        <w:pStyle w:val="Transcrio"/>
        <w:spacing w:before="0" w:after="0"/>
        <w:rPr>
          <w:rFonts w:cs="Arial"/>
          <w:szCs w:val="22"/>
        </w:rPr>
      </w:pPr>
    </w:p>
    <w:p w:rsidR="008B053C" w:rsidRPr="008B053C" w:rsidRDefault="008B053C" w:rsidP="008B053C">
      <w:pPr>
        <w:pStyle w:val="Transcrio"/>
        <w:spacing w:before="0" w:after="0"/>
        <w:rPr>
          <w:rFonts w:cs="Arial"/>
          <w:szCs w:val="22"/>
        </w:rPr>
      </w:pPr>
      <w:r w:rsidRPr="008B053C">
        <w:rPr>
          <w:rFonts w:cs="Arial"/>
          <w:szCs w:val="22"/>
        </w:rPr>
        <w:t xml:space="preserve">“(...) REVISÃO DE BENEFÍCIO. ALTERAÇÃO NO TETO DOS BENEFÍCIOS DO REGIME GERAL DE PREVIDÊNCIA. REFLEXOS NOS BENEFÍCIOS CONCEDIDOS ANTES DA ALTERAÇÃO. EMENDAS CONSTITUCIONAIS N. 20/1998 E 41/2003. DIREITO INTERTEMPORAL: ATO JURÍDICO PERFEITO. NECESSIDADE DE INTERPRETAÇÃO DA LEI INFRACONSTITUCIONAL. AUSÊNCIA DE OFENSA AO PRINCÍPIO DA IRRETROATIVIDADE DAS LEIS. RECURSO EXTRAORDINÁRIO A QUE SE NEGA PROVIMENTO. </w:t>
      </w:r>
    </w:p>
    <w:p w:rsidR="008B053C" w:rsidRPr="008B053C" w:rsidRDefault="008B053C" w:rsidP="008B053C">
      <w:pPr>
        <w:pStyle w:val="Transcrio"/>
        <w:spacing w:before="0" w:after="0"/>
        <w:rPr>
          <w:rFonts w:cs="Arial"/>
          <w:szCs w:val="22"/>
        </w:rPr>
      </w:pPr>
      <w:r w:rsidRPr="008B053C">
        <w:rPr>
          <w:rFonts w:cs="Arial"/>
          <w:szCs w:val="22"/>
        </w:rPr>
        <w:t xml:space="preserve">[...] 2. Não ofende o ato jurídico perfeito a aplicação imediata do art. 14 da Emenda Constitucional n. 20/1998 e do art. 5º da Emenda Constitucional n. 41/2003 aos benefícios previdenciários limitados a teto do regime geral de previdência estabelecido antes da vigência dessas normas, de modo a que passem a observar o novo teto constitucional. </w:t>
      </w:r>
    </w:p>
    <w:p w:rsidR="008B053C" w:rsidRPr="008B053C" w:rsidRDefault="008B053C" w:rsidP="008B053C">
      <w:pPr>
        <w:pStyle w:val="Transcrio"/>
        <w:spacing w:before="0" w:after="0"/>
        <w:rPr>
          <w:rFonts w:cs="Arial"/>
          <w:szCs w:val="22"/>
        </w:rPr>
      </w:pPr>
      <w:r w:rsidRPr="008B053C">
        <w:rPr>
          <w:rFonts w:cs="Arial"/>
          <w:szCs w:val="22"/>
        </w:rPr>
        <w:t>3. Negado provimento ao recurso extraordinário”.</w:t>
      </w:r>
    </w:p>
    <w:p w:rsidR="008B053C" w:rsidRPr="008B053C" w:rsidRDefault="008B053C" w:rsidP="008B053C">
      <w:pPr>
        <w:pStyle w:val="Transcrio"/>
        <w:spacing w:before="0" w:after="0"/>
        <w:rPr>
          <w:rFonts w:cs="Arial"/>
          <w:i w:val="0"/>
          <w:szCs w:val="22"/>
        </w:rPr>
      </w:pPr>
      <w:r w:rsidRPr="008B053C">
        <w:rPr>
          <w:rFonts w:cs="Arial"/>
          <w:i w:val="0"/>
          <w:szCs w:val="22"/>
        </w:rPr>
        <w:t>(RE 564354, Relator(a):  Min. CÁRMEN LÚCIA, Tribunal Pleno, julgado em 08/09/2010, REPERCUSSÃO GERAL - MÉRITO DJe-030 14-02-2011)</w:t>
      </w:r>
    </w:p>
    <w:p w:rsidR="008B053C" w:rsidRPr="008B053C" w:rsidRDefault="008B053C" w:rsidP="008B053C">
      <w:pPr>
        <w:pStyle w:val="Pargrafo"/>
        <w:spacing w:before="0" w:after="0"/>
        <w:ind w:right="98"/>
        <w:rPr>
          <w:rFonts w:cs="Arial"/>
          <w:szCs w:val="22"/>
        </w:rPr>
      </w:pPr>
    </w:p>
    <w:p w:rsidR="008B053C" w:rsidRPr="008B053C" w:rsidRDefault="008B053C" w:rsidP="008B053C">
      <w:pPr>
        <w:spacing w:before="120" w:after="120" w:line="36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>E, por sinal, quando do julgamento do RE 937595, a Suprema Corte esclareceu que o julgamento anteriormente proferido no RE 564354 não impôs limite temporal. Assim, para que tenham direito à readequação da renda de seus benefícios aos novos tetos instituídos pelas Emendas Constitucionais 20/1998 e 41/2003, basta a prova da limitação, tal como demonstram os documentos anexados aos autos.</w:t>
      </w:r>
    </w:p>
    <w:p w:rsidR="008B053C" w:rsidRPr="008B053C" w:rsidRDefault="008B053C" w:rsidP="008B053C">
      <w:pPr>
        <w:pStyle w:val="Pargrafo"/>
        <w:spacing w:before="0" w:after="0" w:line="360" w:lineRule="auto"/>
        <w:ind w:right="96"/>
        <w:rPr>
          <w:rFonts w:cs="Arial"/>
          <w:szCs w:val="22"/>
        </w:rPr>
      </w:pPr>
      <w:r w:rsidRPr="008B053C">
        <w:rPr>
          <w:rFonts w:cs="Arial"/>
          <w:szCs w:val="22"/>
        </w:rPr>
        <w:t>Entretanto, e sem prejuízo do quanto decidido pelo pretório excelso, deve ser observado que parte considerável dos benefícios previdenciários aptos a serem alcançados pela diretriz estabelecida pelo STF no julgamento acima referido já foi contemplada com as revisões administrativas determinadas pelo art. 144, da Lei nº 8.213/91, pelo art. 26 da Lei nº 8.870/04 e pelo art. 21, 3º, da Lei nº 8.880/04.</w:t>
      </w:r>
    </w:p>
    <w:p w:rsidR="008B053C" w:rsidRPr="008B053C" w:rsidRDefault="008B053C" w:rsidP="008B053C">
      <w:pPr>
        <w:pStyle w:val="Pargrafo"/>
        <w:spacing w:before="0" w:after="0" w:line="360" w:lineRule="auto"/>
        <w:ind w:right="96"/>
        <w:rPr>
          <w:rFonts w:cs="Arial"/>
          <w:szCs w:val="22"/>
        </w:rPr>
      </w:pPr>
      <w:r w:rsidRPr="008B053C">
        <w:rPr>
          <w:rFonts w:cs="Arial"/>
          <w:szCs w:val="22"/>
        </w:rPr>
        <w:t>Segundo o primeiro dos dispositivos acima referidos, as prestações concedidas durante o período denominado “</w:t>
      </w:r>
      <w:r w:rsidRPr="008B053C">
        <w:rPr>
          <w:rFonts w:cs="Arial"/>
          <w:i/>
          <w:szCs w:val="22"/>
        </w:rPr>
        <w:t>buraco negro</w:t>
      </w:r>
      <w:r w:rsidRPr="008B053C">
        <w:rPr>
          <w:rFonts w:cs="Arial"/>
          <w:szCs w:val="22"/>
        </w:rPr>
        <w:t>” teriam sua RMI recalculada na forma determinada pela novel Lei do RGPS.</w:t>
      </w:r>
    </w:p>
    <w:p w:rsidR="008B053C" w:rsidRPr="008B053C" w:rsidRDefault="008B053C" w:rsidP="008B053C">
      <w:pPr>
        <w:pStyle w:val="Pargrafo"/>
        <w:spacing w:before="0" w:after="0" w:line="360" w:lineRule="auto"/>
        <w:ind w:right="96"/>
        <w:rPr>
          <w:rFonts w:cs="Arial"/>
          <w:szCs w:val="22"/>
        </w:rPr>
      </w:pPr>
      <w:r w:rsidRPr="008B053C">
        <w:rPr>
          <w:rFonts w:cs="Arial"/>
          <w:szCs w:val="22"/>
        </w:rPr>
        <w:t xml:space="preserve"> Já os demais estabeleceram que os benefícios limitados pelo teto teriam em seu primeiro reajuste a aplicação do percentual equivalente ao valor da parcela limitada, observando-se, contudo, na nova quantificação, o limite máximo do salário de contribuição em vigor na data da sobredita revisão. </w:t>
      </w:r>
    </w:p>
    <w:p w:rsidR="008B053C" w:rsidRPr="008B053C" w:rsidRDefault="008B053C" w:rsidP="008B053C">
      <w:pPr>
        <w:pStyle w:val="Pargrafo"/>
        <w:spacing w:before="0" w:after="0" w:line="360" w:lineRule="auto"/>
        <w:ind w:right="96"/>
        <w:rPr>
          <w:rFonts w:cs="Arial"/>
          <w:szCs w:val="22"/>
        </w:rPr>
      </w:pPr>
      <w:r w:rsidRPr="008B053C">
        <w:rPr>
          <w:rFonts w:cs="Arial"/>
          <w:szCs w:val="22"/>
        </w:rPr>
        <w:lastRenderedPageBreak/>
        <w:t xml:space="preserve">Isso significa que, em muitas situações, o direito em tese à observância dos novos tetos majorados pelas EC nº 20/98 e 41/2003 não terá repercussão prática alguma porque, ainda que inicialmente limitados, eles foram reajustados com a incorporação (parcial ou total) da diferença percentual que havia sido afastada do salário de benefício. </w:t>
      </w:r>
    </w:p>
    <w:p w:rsidR="008B053C" w:rsidRPr="008B053C" w:rsidRDefault="008B053C" w:rsidP="008B053C">
      <w:pPr>
        <w:pStyle w:val="Pargrafo"/>
        <w:spacing w:before="0" w:after="0" w:line="360" w:lineRule="auto"/>
        <w:ind w:right="96"/>
        <w:rPr>
          <w:rFonts w:cs="Arial"/>
          <w:szCs w:val="22"/>
        </w:rPr>
      </w:pPr>
      <w:r w:rsidRPr="008B053C">
        <w:rPr>
          <w:rFonts w:cs="Arial"/>
          <w:szCs w:val="22"/>
        </w:rPr>
        <w:t>Assim, os titulares dos benefícios em comento que experimentaram uma incorporação parcial dos valores que sobejaram ao teto, fazem jus a um resíduo a ser aplicado por conta das EC nº 20/98 e 41/2003.</w:t>
      </w:r>
    </w:p>
    <w:p w:rsidR="008B053C" w:rsidRPr="008B053C" w:rsidRDefault="008B053C" w:rsidP="008B053C">
      <w:pPr>
        <w:pStyle w:val="Pargrafo"/>
        <w:spacing w:before="0" w:after="0" w:line="360" w:lineRule="auto"/>
        <w:ind w:right="96"/>
        <w:rPr>
          <w:rFonts w:cs="Arial"/>
          <w:szCs w:val="22"/>
        </w:rPr>
      </w:pPr>
      <w:r w:rsidRPr="008B053C">
        <w:rPr>
          <w:rFonts w:cs="Arial"/>
          <w:szCs w:val="22"/>
        </w:rPr>
        <w:t xml:space="preserve">Já os benefícios que experimentaram uma incorporação integral, nada mais terão a receber, sob pena de indevido </w:t>
      </w:r>
      <w:r w:rsidRPr="008B053C">
        <w:rPr>
          <w:rFonts w:cs="Arial"/>
          <w:i/>
          <w:szCs w:val="22"/>
        </w:rPr>
        <w:t>bis in idem</w:t>
      </w:r>
      <w:r w:rsidRPr="008B053C">
        <w:rPr>
          <w:rFonts w:cs="Arial"/>
          <w:szCs w:val="22"/>
        </w:rPr>
        <w:t>.</w:t>
      </w:r>
    </w:p>
    <w:p w:rsidR="008B053C" w:rsidRPr="008B053C" w:rsidRDefault="008B053C" w:rsidP="008B053C">
      <w:pPr>
        <w:pStyle w:val="Pargrafo"/>
        <w:spacing w:before="0" w:after="0" w:line="360" w:lineRule="auto"/>
        <w:ind w:right="96"/>
        <w:rPr>
          <w:rFonts w:cs="Arial"/>
          <w:szCs w:val="22"/>
        </w:rPr>
      </w:pPr>
      <w:r w:rsidRPr="008B053C">
        <w:rPr>
          <w:rFonts w:cs="Arial"/>
          <w:szCs w:val="22"/>
        </w:rPr>
        <w:t>Nesse contexto, considerando que o benefício da parte autora teve início dentro do período denominado de buraco negro, deve ser certificado o direito à readequação da renda do seu benefício, deixando para a fase de cumprimento da sentença a quantificação dos valores eventualmente devidos.</w:t>
      </w:r>
    </w:p>
    <w:p w:rsidR="008B053C" w:rsidRPr="008B053C" w:rsidRDefault="008B053C" w:rsidP="008B053C">
      <w:pPr>
        <w:pStyle w:val="Pargrafo"/>
        <w:spacing w:before="0" w:after="0" w:line="360" w:lineRule="auto"/>
        <w:rPr>
          <w:rFonts w:cs="Arial"/>
          <w:szCs w:val="22"/>
        </w:rPr>
      </w:pPr>
      <w:r w:rsidRPr="008B053C">
        <w:rPr>
          <w:rFonts w:cs="Arial"/>
          <w:szCs w:val="22"/>
        </w:rPr>
        <w:t>Em situação análoga, o TRF-2 decidiu:</w:t>
      </w:r>
    </w:p>
    <w:p w:rsidR="008B053C" w:rsidRPr="008B053C" w:rsidRDefault="008B053C" w:rsidP="008B053C">
      <w:pPr>
        <w:pStyle w:val="Pargrafo"/>
        <w:spacing w:before="0" w:after="0"/>
        <w:ind w:right="98"/>
        <w:rPr>
          <w:rFonts w:cs="Arial"/>
          <w:szCs w:val="22"/>
        </w:rPr>
      </w:pPr>
    </w:p>
    <w:p w:rsidR="008B053C" w:rsidRPr="008B053C" w:rsidRDefault="008B053C" w:rsidP="008B053C">
      <w:pPr>
        <w:pStyle w:val="Transcrio"/>
        <w:spacing w:before="0" w:after="0"/>
        <w:contextualSpacing/>
        <w:rPr>
          <w:rFonts w:cs="Arial"/>
          <w:szCs w:val="22"/>
        </w:rPr>
      </w:pPr>
      <w:r w:rsidRPr="008B053C">
        <w:rPr>
          <w:rFonts w:cs="Arial"/>
          <w:szCs w:val="22"/>
        </w:rPr>
        <w:t xml:space="preserve">[...] REVISÃO DA RENDA MENSAL DE BENEFÍCIO CONSIDERANDO OS NOVOS TETOS ESTABELECIDOS PELAS EMENDAS CONSTITUCIONAIS Nº 20-1998 E Nº 41-2003. DECADÊNCIA. INOCORRÊNCIA. </w:t>
      </w:r>
    </w:p>
    <w:p w:rsidR="008B053C" w:rsidRPr="008B053C" w:rsidRDefault="008B053C" w:rsidP="008B053C">
      <w:pPr>
        <w:pStyle w:val="Transcrio"/>
        <w:spacing w:before="0" w:after="0"/>
        <w:contextualSpacing/>
        <w:rPr>
          <w:rFonts w:cs="Arial"/>
          <w:szCs w:val="22"/>
        </w:rPr>
      </w:pPr>
      <w:r w:rsidRPr="008B053C">
        <w:rPr>
          <w:rFonts w:cs="Arial"/>
          <w:szCs w:val="22"/>
        </w:rPr>
        <w:t xml:space="preserve">I - Segundo orientação consolidada, em sede repercussão geral, por nossa Corte Suprema no julgamento do Recurso Extraordinário nº 564.354, não ofende a garantia do ato jurídico perfeito a aplicação imediata do artigo 14 da Emenda Constitucional nº 20-1998 e do artigo 5º da Emenda Constitucional nº 41-2003 aos benefícios previdenciários limitados a teto do Regime Geral de Previdência Social estabelecido antes da vigência dessas normas, de modo a que passem a observar o novo teto constitucional. </w:t>
      </w:r>
    </w:p>
    <w:p w:rsidR="008B053C" w:rsidRPr="008B053C" w:rsidRDefault="008B053C" w:rsidP="008B053C">
      <w:pPr>
        <w:pStyle w:val="Transcrio"/>
        <w:spacing w:before="0" w:after="0"/>
        <w:contextualSpacing/>
        <w:rPr>
          <w:rFonts w:cs="Arial"/>
          <w:szCs w:val="22"/>
        </w:rPr>
      </w:pPr>
      <w:r w:rsidRPr="008B053C">
        <w:rPr>
          <w:rFonts w:cs="Arial"/>
          <w:szCs w:val="22"/>
        </w:rPr>
        <w:t xml:space="preserve">II - O reconhecimento do direito à readequação da renda mensal do benefício fica condicionado à demonstração, no caso concreto, de que o salário-de-benefício do segurado tenha sido calculado em valor maior que o teto vigente na época da concessão, o que ensejou a incidência do redutor legal e justifica a revisão a partir do momento da majoração operada no teto, mediante fixação de um novo limite para o valor da prestação pecuniária previdenciária. </w:t>
      </w:r>
    </w:p>
    <w:p w:rsidR="008B053C" w:rsidRPr="008B053C" w:rsidRDefault="008B053C" w:rsidP="008B053C">
      <w:pPr>
        <w:pStyle w:val="Transcrio"/>
        <w:spacing w:before="0" w:after="0"/>
        <w:contextualSpacing/>
        <w:rPr>
          <w:rFonts w:cs="Arial"/>
          <w:szCs w:val="22"/>
        </w:rPr>
      </w:pPr>
      <w:r w:rsidRPr="008B053C">
        <w:rPr>
          <w:rFonts w:cs="Arial"/>
          <w:szCs w:val="22"/>
        </w:rPr>
        <w:t>III - Ao firmar entendimento a respeito do tema, o Supremo Tribunal Federal não impôs qualquer limitação temporal, em razão da data em que foi concedido o benefício (DIB), para o reconhecimento do direito à readequação dos valores da prestação mensal diante da majoração do teto previdenciário nas Emendas Constitucionais nº 20-1998 e nº 41-2003; já que, independente da data da sua concessão, a determinação para referida readequação está condicionada à demonstração nos autos de que o seu valor tenha sofrido limitação devido aos tetos então vigentes; inexistindo fundamento, portanto, para obstar peremptoriamente a revisão pleiteada quanto aos benefícios deferidos antes de 5 de abril de 1991, haja vista o disposto no 145 da Lei nº 8.213-91, bem como quanto aos concedidos entre 05 de outubro de 1988 e 05 de abril de 1991, no período comumente chamado de "buraco negro", diante do estabelecido no artigo 144 do mesmo diploma.</w:t>
      </w:r>
    </w:p>
    <w:p w:rsidR="008B053C" w:rsidRPr="008B053C" w:rsidRDefault="008B053C" w:rsidP="008B053C">
      <w:pPr>
        <w:pStyle w:val="Transcrio"/>
        <w:spacing w:before="0" w:after="0"/>
        <w:contextualSpacing/>
        <w:rPr>
          <w:rFonts w:cs="Arial"/>
          <w:szCs w:val="22"/>
        </w:rPr>
      </w:pPr>
      <w:r w:rsidRPr="008B053C">
        <w:rPr>
          <w:rFonts w:cs="Arial"/>
          <w:i w:val="0"/>
          <w:szCs w:val="22"/>
        </w:rPr>
        <w:t xml:space="preserve"> </w:t>
      </w:r>
      <w:r w:rsidRPr="008B053C">
        <w:rPr>
          <w:rFonts w:cs="Arial"/>
          <w:szCs w:val="22"/>
        </w:rPr>
        <w:t>(APELRE 201351040008841, Des. Fed. HELENA ELIAS PINTO, TRF2 - SEGUNDA TURMA ESPECIALIZADA, E-DJF2R - Data::18/03/2014.)</w:t>
      </w:r>
    </w:p>
    <w:p w:rsidR="008B053C" w:rsidRPr="008B053C" w:rsidRDefault="008B053C" w:rsidP="008B053C">
      <w:pPr>
        <w:pStyle w:val="Pargrafo"/>
        <w:spacing w:before="0" w:after="0"/>
        <w:ind w:right="98"/>
        <w:rPr>
          <w:rFonts w:cs="Arial"/>
          <w:szCs w:val="22"/>
        </w:rPr>
      </w:pPr>
    </w:p>
    <w:p w:rsidR="008B053C" w:rsidRPr="008B053C" w:rsidRDefault="008B053C" w:rsidP="008B053C">
      <w:pPr>
        <w:shd w:val="clear" w:color="auto" w:fill="FFFFFF"/>
        <w:spacing w:after="0" w:line="360" w:lineRule="auto"/>
        <w:ind w:firstLine="1418"/>
        <w:jc w:val="both"/>
        <w:rPr>
          <w:rFonts w:ascii="Arial" w:hAnsi="Arial" w:cs="Arial"/>
        </w:rPr>
      </w:pPr>
      <w:r w:rsidRPr="008B053C">
        <w:rPr>
          <w:rFonts w:ascii="Arial" w:hAnsi="Arial" w:cs="Arial"/>
        </w:rPr>
        <w:t xml:space="preserve">Vê-se que a certificação do direito subjetivo da parte autora à revisão do seu benefício, com base nos novos tetos estabelecidos pelas EC 20/1998 e 41/2003, é medida imperiosa, a fim de que o procedimento de liquidação possa aferir o </w:t>
      </w:r>
      <w:r w:rsidRPr="008B053C">
        <w:rPr>
          <w:rFonts w:ascii="Arial" w:hAnsi="Arial" w:cs="Arial"/>
          <w:i/>
        </w:rPr>
        <w:t xml:space="preserve">quantum </w:t>
      </w:r>
      <w:r w:rsidRPr="008B053C">
        <w:rPr>
          <w:rFonts w:ascii="Arial" w:hAnsi="Arial" w:cs="Arial"/>
        </w:rPr>
        <w:t>devido.</w:t>
      </w:r>
    </w:p>
    <w:p w:rsidR="008B053C" w:rsidRPr="008B053C" w:rsidRDefault="008B053C" w:rsidP="008B053C">
      <w:pPr>
        <w:shd w:val="clear" w:color="auto" w:fill="FFFFFF"/>
        <w:spacing w:after="0" w:line="360" w:lineRule="auto"/>
        <w:ind w:firstLine="1418"/>
        <w:jc w:val="both"/>
        <w:rPr>
          <w:rFonts w:ascii="Arial" w:hAnsi="Arial" w:cs="Arial"/>
        </w:rPr>
      </w:pPr>
      <w:r w:rsidRPr="008B053C">
        <w:rPr>
          <w:rFonts w:ascii="Arial" w:hAnsi="Arial" w:cs="Arial"/>
          <w:noProof/>
        </w:rPr>
        <w:t xml:space="preserve">A disciplina dos juros e da correção monetária está pacificada pelo STJ, através de julgamento proferido sob o rito dos recursos repetitivos, vinculando a cognição desta Corte. Portanto, tal como disposto no REsp 1492221/PR, as condenações impostas à Fazenda Pública de natureza previdenciária sujeitam-se à incidência do INPC, para fins de correção monetária, no que se refere ao período posterior à vigência da Lei 11.430/2006, que incluiu  o art. 41-A na Lei 8.213/91. Quanto aos juros de mora, incidem segundo a remuneração oficial da caderneta de poupança (art. 1º-F da Lei 9.494/97, com redação dada pela Lei n. 11.960/2009).  </w:t>
      </w:r>
    </w:p>
    <w:p w:rsidR="008B053C" w:rsidRPr="008B053C" w:rsidRDefault="008B053C" w:rsidP="008B053C">
      <w:pPr>
        <w:shd w:val="clear" w:color="auto" w:fill="FFFFFF"/>
        <w:spacing w:after="0" w:line="360" w:lineRule="auto"/>
        <w:ind w:firstLine="1418"/>
        <w:jc w:val="both"/>
        <w:rPr>
          <w:rFonts w:ascii="Arial" w:hAnsi="Arial" w:cs="Arial"/>
        </w:rPr>
      </w:pPr>
      <w:r w:rsidRPr="008B053C">
        <w:rPr>
          <w:rFonts w:ascii="Arial" w:hAnsi="Arial" w:cs="Arial"/>
          <w:noProof/>
        </w:rPr>
        <w:t>Por sinal, a sentença ao determinar a incidência do Manual de Cálculo da Justiça Federal está em harmonia com o precedente acima.</w:t>
      </w:r>
    </w:p>
    <w:p w:rsidR="008B053C" w:rsidRPr="008B053C" w:rsidRDefault="008B053C" w:rsidP="008B053C">
      <w:pPr>
        <w:tabs>
          <w:tab w:val="left" w:pos="1418"/>
        </w:tabs>
        <w:spacing w:after="0" w:line="360" w:lineRule="auto"/>
        <w:jc w:val="both"/>
        <w:rPr>
          <w:rFonts w:ascii="Arial" w:hAnsi="Arial" w:cs="Arial"/>
        </w:rPr>
      </w:pPr>
      <w:r w:rsidRPr="008B053C">
        <w:rPr>
          <w:rFonts w:ascii="Arial" w:hAnsi="Arial" w:cs="Arial"/>
        </w:rPr>
        <w:tab/>
        <w:t>Por outro lado, a parte autora acertadamente se insurge quanto à fixação dos honorários, arbitrados em valor ínfimo. Assim, em respeito ao princípio da proporcionalidade, os honorários ficam majorados para 10% das prestações vencidas até a sentença, proferida sob a égide do CPC/1973, na linha dos precedentes desta Câmara e da Súmula nº 111 do STJ.</w:t>
      </w:r>
    </w:p>
    <w:p w:rsidR="008B053C" w:rsidRPr="008B053C" w:rsidRDefault="008B053C" w:rsidP="008B053C">
      <w:pPr>
        <w:tabs>
          <w:tab w:val="left" w:pos="1418"/>
        </w:tabs>
        <w:spacing w:after="0" w:line="360" w:lineRule="auto"/>
        <w:jc w:val="both"/>
        <w:rPr>
          <w:rFonts w:ascii="Arial" w:hAnsi="Arial" w:cs="Arial"/>
        </w:rPr>
      </w:pPr>
      <w:r w:rsidRPr="008B053C">
        <w:rPr>
          <w:rFonts w:ascii="Arial" w:hAnsi="Arial" w:cs="Arial"/>
        </w:rPr>
        <w:tab/>
        <w:t xml:space="preserve">ISTO POSTO, não conheço da remessa oficial, nego provimento à apelação do INSS e dou provimento ao recurso adesivo da parte autora para majorar os honorários. </w:t>
      </w:r>
    </w:p>
    <w:p w:rsidR="008B053C" w:rsidRPr="008B053C" w:rsidRDefault="008B053C" w:rsidP="008B05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8B053C">
        <w:rPr>
          <w:rFonts w:ascii="Arial" w:hAnsi="Arial" w:cs="Arial"/>
        </w:rPr>
        <w:tab/>
      </w:r>
      <w:r w:rsidRPr="008B053C">
        <w:rPr>
          <w:rFonts w:ascii="Arial" w:eastAsia="Times New Roman" w:hAnsi="Arial" w:cs="Arial"/>
          <w:lang w:eastAsia="pt-BR"/>
        </w:rPr>
        <w:t>Deixo registrado que o art. 1.025 do CPC/2015 adotou a tese do prequestionamento ficto, de modo que a simples menção do tema nas razões recursais atende à referida finalidade.</w:t>
      </w:r>
    </w:p>
    <w:p w:rsidR="008B053C" w:rsidRPr="008B053C" w:rsidRDefault="008B053C" w:rsidP="008B053C">
      <w:pPr>
        <w:spacing w:after="0" w:line="36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>É o meu voto.</w:t>
      </w:r>
    </w:p>
    <w:p w:rsidR="008B053C" w:rsidRPr="008B053C" w:rsidRDefault="008B053C" w:rsidP="008B053C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:rsidR="008B053C" w:rsidRPr="008B053C" w:rsidRDefault="008B053C" w:rsidP="008B053C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>Juiz Federal CRISTIANO MIRANDA DE SANTANA</w:t>
      </w:r>
    </w:p>
    <w:p w:rsidR="008B053C" w:rsidRPr="008B053C" w:rsidRDefault="008B053C" w:rsidP="008B053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t-BR"/>
        </w:rPr>
      </w:pPr>
      <w:r w:rsidRPr="008B053C">
        <w:rPr>
          <w:rFonts w:ascii="Arial" w:eastAsia="Times New Roman" w:hAnsi="Arial" w:cs="Arial"/>
          <w:lang w:eastAsia="pt-BR"/>
        </w:rPr>
        <w:t>RELATOR</w:t>
      </w:r>
    </w:p>
    <w:sectPr w:rsidR="008B053C" w:rsidRPr="008B053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A98" w:rsidRDefault="001A1A98">
      <w:r>
        <w:separator/>
      </w:r>
    </w:p>
  </w:endnote>
  <w:endnote w:type="continuationSeparator" w:id="0">
    <w:p w:rsidR="001A1A98" w:rsidRDefault="001A1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8B053C">
      <w:rPr>
        <w:rFonts w:ascii="Arial" w:hAnsi="Arial"/>
        <w:noProof/>
        <w:sz w:val="10"/>
      </w:rPr>
      <w:t>Documento2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8B053C">
      <w:rPr>
        <w:rFonts w:ascii="Arial" w:hAnsi="Arial"/>
        <w:noProof/>
        <w:sz w:val="13"/>
      </w:rPr>
      <w:t>Documento2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8B053C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A98" w:rsidRDefault="001A1A98">
      <w:r>
        <w:separator/>
      </w:r>
    </w:p>
  </w:footnote>
  <w:footnote w:type="continuationSeparator" w:id="0">
    <w:p w:rsidR="001A1A98" w:rsidRDefault="001A1A98">
      <w:r>
        <w:continuationSeparator/>
      </w:r>
    </w:p>
  </w:footnote>
  <w:footnote w:id="1">
    <w:p w:rsidR="008B053C" w:rsidRDefault="008B053C" w:rsidP="008B053C">
      <w:pPr>
        <w:pStyle w:val="Textodenotaderodap"/>
        <w:jc w:val="both"/>
        <w:rPr>
          <w:sz w:val="18"/>
          <w:szCs w:val="18"/>
        </w:rPr>
      </w:pPr>
      <w:r>
        <w:rPr>
          <w:rStyle w:val="Refdenotaderodap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Neste sentido: AC 0045141-17.2013.4.01.3300 / BA, Rel. DESEMBARGADOR FEDERAL FRANCISCO DE ASSIS BETTI, Rel.Conv. JUIZ FEDERAL CLEBERSON JOSÉ ROCHA (CONV.), SEGUNDA TURMA, e-DJF1 p</w:t>
      </w:r>
      <w:r>
        <w:rPr>
          <w:sz w:val="18"/>
          <w:szCs w:val="18"/>
        </w:rPr>
        <w:t>.934 de 20/03/2015.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8B053C">
      <w:rPr>
        <w:rFonts w:ascii="Arial" w:hAnsi="Arial" w:cs="Arial"/>
        <w:bCs/>
        <w:noProof/>
        <w:sz w:val="16"/>
      </w:rPr>
      <w:t>4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8B053C">
      <w:rPr>
        <w:rFonts w:ascii="Arial" w:hAnsi="Arial" w:cs="Arial"/>
        <w:bCs/>
        <w:noProof/>
        <w:sz w:val="16"/>
      </w:rPr>
      <w:t>4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3C" w:rsidRPr="008B053C" w:rsidRDefault="008B053C" w:rsidP="008B053C">
    <w:pPr>
      <w:jc w:val="right"/>
      <w:rPr>
        <w:rFonts w:ascii="Interleaved 2of5" w:hAnsi="Interleaved 2of5"/>
        <w:sz w:val="48"/>
      </w:rPr>
    </w:pPr>
    <w:r w:rsidRPr="008B053C">
      <w:rPr>
        <w:rFonts w:ascii="Interleaved 2of5" w:hAnsi="Interleaved 2of5"/>
        <w:sz w:val="48"/>
      </w:rPr>
      <w:t>(4L\Ö1\1Q&gt;)</w:t>
    </w:r>
  </w:p>
  <w:p w:rsidR="008B053C" w:rsidRDefault="008B053C" w:rsidP="008B053C">
    <w:pPr>
      <w:spacing w:before="120"/>
      <w:rPr>
        <w:rFonts w:ascii="Arial" w:hAnsi="Arial"/>
        <w:sz w:val="16"/>
      </w:rPr>
    </w:pPr>
  </w:p>
  <w:p w:rsidR="004554A7" w:rsidRDefault="008B053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1A98"/>
    <w:rsid w:val="0015179D"/>
    <w:rsid w:val="00191A8C"/>
    <w:rsid w:val="001A1A98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B053C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053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8B053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B053C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notaderodap">
    <w:name w:val="footnote text"/>
    <w:basedOn w:val="Normal"/>
    <w:link w:val="TextodenotaderodapChar"/>
    <w:unhideWhenUsed/>
    <w:rsid w:val="008B053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B053C"/>
    <w:rPr>
      <w:rFonts w:ascii="Calibri" w:eastAsia="Calibri" w:hAnsi="Calibri"/>
      <w:lang w:eastAsia="en-US"/>
    </w:rPr>
  </w:style>
  <w:style w:type="character" w:customStyle="1" w:styleId="PargrafoChar">
    <w:name w:val="Parágrafo Char"/>
    <w:link w:val="Pargrafo"/>
    <w:locked/>
    <w:rsid w:val="008B053C"/>
    <w:rPr>
      <w:rFonts w:ascii="Arial" w:hAnsi="Arial"/>
      <w:sz w:val="22"/>
      <w:szCs w:val="24"/>
    </w:rPr>
  </w:style>
  <w:style w:type="character" w:styleId="Refdenotaderodap">
    <w:name w:val="footnote reference"/>
    <w:uiPriority w:val="99"/>
    <w:unhideWhenUsed/>
    <w:rsid w:val="008B05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7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PADRÃO.DOT</Template>
  <TotalTime>1</TotalTime>
  <Pages>4</Pages>
  <Words>1401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1</cp:revision>
  <dcterms:created xsi:type="dcterms:W3CDTF">2018-08-27T16:08:00Z</dcterms:created>
  <dcterms:modified xsi:type="dcterms:W3CDTF">2018-08-27T16:12:00Z</dcterms:modified>
</cp:coreProperties>
</file>