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57D" w:rsidRDefault="00EB357D" w:rsidP="00D86259">
      <w:pPr>
        <w:pStyle w:val="TextosemFormatao"/>
      </w:pPr>
    </w:p>
    <w:p w:rsidR="004428D9" w:rsidRPr="00EB357D" w:rsidRDefault="004428D9" w:rsidP="004428D9">
      <w:pPr>
        <w:tabs>
          <w:tab w:val="right" w:pos="9540"/>
        </w:tabs>
        <w:spacing w:after="120"/>
        <w:rPr>
          <w:rFonts w:ascii="Arial" w:hAnsi="Arial" w:cs="Arial"/>
          <w:bCs/>
          <w:sz w:val="22"/>
          <w:szCs w:val="22"/>
        </w:rPr>
      </w:pPr>
      <w:r w:rsidRPr="00EB357D">
        <w:rPr>
          <w:rFonts w:ascii="Arial" w:hAnsi="Arial" w:cs="Arial"/>
          <w:sz w:val="22"/>
          <w:szCs w:val="22"/>
        </w:rPr>
        <w:t>APELAÇÃO CÍVEL  0045031-72.2013.4.01.9199/MG</w:t>
      </w:r>
    </w:p>
    <w:p w:rsidR="00EB357D" w:rsidRPr="0070718C" w:rsidRDefault="00EB357D" w:rsidP="00EB357D">
      <w:pPr>
        <w:pStyle w:val="Identificao"/>
        <w:spacing w:before="360" w:after="120" w:line="360" w:lineRule="auto"/>
        <w:jc w:val="center"/>
        <w:rPr>
          <w:rFonts w:eastAsia="MS Mincho" w:cs="Arial"/>
          <w:bCs/>
          <w:szCs w:val="22"/>
        </w:rPr>
      </w:pPr>
      <w:r w:rsidRPr="0070718C">
        <w:rPr>
          <w:rFonts w:eastAsia="MS Mincho" w:cs="Arial"/>
          <w:bCs/>
          <w:szCs w:val="22"/>
        </w:rPr>
        <w:t>R E L A T Ó R I O</w:t>
      </w:r>
    </w:p>
    <w:p w:rsidR="00EB357D" w:rsidRPr="0094635B" w:rsidRDefault="00EB357D" w:rsidP="00EB357D">
      <w:pPr>
        <w:pStyle w:val="Identificao"/>
        <w:spacing w:line="360" w:lineRule="auto"/>
        <w:ind w:firstLine="1440"/>
        <w:rPr>
          <w:rFonts w:eastAsia="MS Mincho"/>
          <w:b/>
          <w:bCs/>
          <w:sz w:val="8"/>
          <w:szCs w:val="8"/>
        </w:rPr>
      </w:pPr>
    </w:p>
    <w:p w:rsidR="00EB357D" w:rsidRPr="00C80E1B" w:rsidRDefault="00EB357D" w:rsidP="00EB357D">
      <w:pPr>
        <w:pStyle w:val="Identificao"/>
        <w:spacing w:line="360" w:lineRule="auto"/>
        <w:ind w:firstLine="1440"/>
        <w:rPr>
          <w:rFonts w:eastAsia="MS Mincho"/>
          <w:szCs w:val="22"/>
        </w:rPr>
      </w:pPr>
      <w:r w:rsidRPr="00C80E1B">
        <w:rPr>
          <w:rFonts w:eastAsia="MS Mincho"/>
          <w:bCs/>
          <w:szCs w:val="22"/>
        </w:rPr>
        <w:t>A EXMª SRª DESEMBARGADORA FEDERAL NEUZA ALVES (RELATORA):</w:t>
      </w:r>
    </w:p>
    <w:p w:rsidR="00EB357D" w:rsidRPr="00C80E1B" w:rsidRDefault="00EB357D" w:rsidP="00EB357D">
      <w:pPr>
        <w:pStyle w:val="Identificao"/>
        <w:spacing w:line="360" w:lineRule="auto"/>
        <w:ind w:firstLine="1440"/>
        <w:rPr>
          <w:iCs/>
          <w:szCs w:val="22"/>
        </w:rPr>
      </w:pPr>
      <w:r w:rsidRPr="00C80E1B">
        <w:rPr>
          <w:rFonts w:eastAsia="MS Mincho"/>
          <w:szCs w:val="22"/>
        </w:rPr>
        <w:t xml:space="preserve">O INSS maneja recurso de apelação </w:t>
      </w:r>
      <w:r w:rsidRPr="00C80E1B">
        <w:rPr>
          <w:szCs w:val="22"/>
        </w:rPr>
        <w:t xml:space="preserve">contra a sentença proferida, pela qual o </w:t>
      </w:r>
      <w:r>
        <w:rPr>
          <w:szCs w:val="22"/>
        </w:rPr>
        <w:t>j</w:t>
      </w:r>
      <w:r w:rsidRPr="00C80E1B">
        <w:rPr>
          <w:szCs w:val="22"/>
        </w:rPr>
        <w:t xml:space="preserve">uízo </w:t>
      </w:r>
      <w:r w:rsidRPr="00C80E1B">
        <w:rPr>
          <w:i/>
          <w:szCs w:val="22"/>
        </w:rPr>
        <w:t>a quo</w:t>
      </w:r>
      <w:r w:rsidRPr="00C80E1B">
        <w:rPr>
          <w:szCs w:val="22"/>
        </w:rPr>
        <w:t xml:space="preserve"> acolheu a pretensão central deduzida em juízo, </w:t>
      </w:r>
      <w:r w:rsidRPr="00C80E1B">
        <w:rPr>
          <w:iCs/>
          <w:szCs w:val="22"/>
        </w:rPr>
        <w:t>condenando a referida autarquia a pagar à parte autora as parcelas ref</w:t>
      </w:r>
      <w:r>
        <w:rPr>
          <w:iCs/>
          <w:szCs w:val="22"/>
        </w:rPr>
        <w:t>erentes ao benefício de salário-</w:t>
      </w:r>
      <w:r w:rsidRPr="00C80E1B">
        <w:rPr>
          <w:iCs/>
          <w:szCs w:val="22"/>
        </w:rPr>
        <w:t>maternidade, no valor de um salário mínimo, pelo prazo legalmente estabelecido.</w:t>
      </w:r>
    </w:p>
    <w:p w:rsidR="00EB357D" w:rsidRPr="008A11B5" w:rsidRDefault="00EB357D" w:rsidP="00EB357D">
      <w:pPr>
        <w:pStyle w:val="Identificao"/>
        <w:spacing w:line="360" w:lineRule="auto"/>
        <w:ind w:firstLine="1440"/>
        <w:rPr>
          <w:iCs/>
          <w:szCs w:val="22"/>
        </w:rPr>
      </w:pPr>
      <w:r w:rsidRPr="008A11B5">
        <w:rPr>
          <w:iCs/>
          <w:szCs w:val="22"/>
        </w:rPr>
        <w:t>Correção monetária sobre as verbas em atraso, a que se acrescem juros de mora</w:t>
      </w:r>
      <w:r>
        <w:rPr>
          <w:iCs/>
          <w:szCs w:val="22"/>
        </w:rPr>
        <w:t>,</w:t>
      </w:r>
      <w:r w:rsidRPr="008A11B5">
        <w:rPr>
          <w:iCs/>
          <w:szCs w:val="22"/>
        </w:rPr>
        <w:t xml:space="preserve"> além de honorários advocatícios, a cargo da autarquia sucumbente.</w:t>
      </w:r>
    </w:p>
    <w:p w:rsidR="00EB357D" w:rsidRPr="008A11B5" w:rsidRDefault="00EB357D" w:rsidP="00EB357D">
      <w:pPr>
        <w:pStyle w:val="Identificao"/>
        <w:spacing w:line="360" w:lineRule="auto"/>
        <w:ind w:firstLine="1440"/>
        <w:rPr>
          <w:iCs/>
          <w:szCs w:val="22"/>
        </w:rPr>
      </w:pPr>
      <w:r>
        <w:rPr>
          <w:iCs/>
          <w:szCs w:val="22"/>
        </w:rPr>
        <w:t>Sustenta o INSS a necessidade de prévia postulação administrativa como condição para o ajuizamento do presente feito, eis porque deve ser ele extinto sem julgamento do mérito. Pugna pela isenção de qualquer ônus sucumbencial.</w:t>
      </w:r>
    </w:p>
    <w:p w:rsidR="0015179D" w:rsidRDefault="00EB357D" w:rsidP="00EB357D">
      <w:pPr>
        <w:pStyle w:val="Identificao"/>
        <w:ind w:left="709" w:firstLine="709"/>
        <w:rPr>
          <w:szCs w:val="22"/>
        </w:rPr>
      </w:pPr>
      <w:r w:rsidRPr="00C80E1B">
        <w:rPr>
          <w:szCs w:val="22"/>
        </w:rPr>
        <w:t>É o relatório.</w:t>
      </w:r>
    </w:p>
    <w:p w:rsidR="004428D9" w:rsidRPr="00EB357D" w:rsidRDefault="00EB357D" w:rsidP="004428D9">
      <w:pPr>
        <w:tabs>
          <w:tab w:val="right" w:pos="9540"/>
        </w:tabs>
        <w:spacing w:after="120"/>
        <w:rPr>
          <w:rFonts w:ascii="Arial" w:hAnsi="Arial" w:cs="Arial"/>
          <w:bCs/>
          <w:sz w:val="22"/>
          <w:szCs w:val="22"/>
        </w:rPr>
      </w:pPr>
      <w:r>
        <w:rPr>
          <w:szCs w:val="22"/>
        </w:rPr>
        <w:br w:type="page"/>
      </w:r>
      <w:r w:rsidR="004428D9" w:rsidRPr="00EB357D">
        <w:rPr>
          <w:rFonts w:ascii="Arial" w:hAnsi="Arial" w:cs="Arial"/>
          <w:sz w:val="22"/>
          <w:szCs w:val="22"/>
        </w:rPr>
        <w:lastRenderedPageBreak/>
        <w:t>APELAÇÃO CÍVEL  0045031-72.2013.4.01.9199/MG</w:t>
      </w:r>
    </w:p>
    <w:p w:rsidR="00EB357D" w:rsidRPr="0070718C" w:rsidRDefault="00EB357D" w:rsidP="00EB357D">
      <w:pPr>
        <w:pStyle w:val="Identificao"/>
        <w:spacing w:before="240" w:after="360" w:line="360" w:lineRule="auto"/>
        <w:jc w:val="center"/>
        <w:rPr>
          <w:bCs/>
          <w:szCs w:val="22"/>
        </w:rPr>
      </w:pPr>
      <w:r w:rsidRPr="0070718C">
        <w:rPr>
          <w:bCs/>
          <w:szCs w:val="22"/>
        </w:rPr>
        <w:t>V O T O</w:t>
      </w:r>
    </w:p>
    <w:p w:rsidR="00EB357D" w:rsidRPr="00C80E1B" w:rsidRDefault="00EB357D" w:rsidP="00EB357D">
      <w:pPr>
        <w:pStyle w:val="Identificao"/>
        <w:spacing w:line="360" w:lineRule="auto"/>
        <w:ind w:firstLine="1440"/>
        <w:rPr>
          <w:rFonts w:eastAsia="MS Mincho"/>
          <w:szCs w:val="22"/>
        </w:rPr>
      </w:pPr>
      <w:r w:rsidRPr="00C80E1B">
        <w:rPr>
          <w:rFonts w:eastAsia="MS Mincho"/>
          <w:bCs/>
          <w:szCs w:val="22"/>
        </w:rPr>
        <w:t>A EXMª SRª DESEMBARGADORA FEDERAL NEUZA ALVES (RELATORA):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O magistrado </w:t>
      </w:r>
      <w:r w:rsidRPr="00C80E1B">
        <w:rPr>
          <w:rFonts w:ascii="Arial" w:eastAsia="MS Mincho" w:hAnsi="Arial"/>
          <w:i/>
          <w:sz w:val="22"/>
          <w:szCs w:val="22"/>
        </w:rPr>
        <w:t>a quo</w:t>
      </w:r>
      <w:r w:rsidRPr="00C80E1B">
        <w:rPr>
          <w:rFonts w:ascii="Arial" w:eastAsia="MS Mincho" w:hAnsi="Arial"/>
          <w:sz w:val="22"/>
          <w:szCs w:val="22"/>
        </w:rPr>
        <w:t xml:space="preserve"> entendeu por bem conceder o benefício</w:t>
      </w:r>
      <w:r>
        <w:rPr>
          <w:rFonts w:ascii="Arial" w:eastAsia="MS Mincho" w:hAnsi="Arial"/>
          <w:sz w:val="22"/>
          <w:szCs w:val="22"/>
        </w:rPr>
        <w:t xml:space="preserve"> de salário-</w:t>
      </w:r>
      <w:r w:rsidRPr="00C80E1B">
        <w:rPr>
          <w:rFonts w:ascii="Arial" w:eastAsia="MS Mincho" w:hAnsi="Arial"/>
          <w:sz w:val="22"/>
          <w:szCs w:val="22"/>
        </w:rPr>
        <w:t xml:space="preserve">maternidade requerido pela </w:t>
      </w:r>
      <w:r>
        <w:rPr>
          <w:rFonts w:ascii="Arial" w:eastAsia="MS Mincho" w:hAnsi="Arial"/>
          <w:sz w:val="22"/>
          <w:szCs w:val="22"/>
        </w:rPr>
        <w:t xml:space="preserve">parte </w:t>
      </w:r>
      <w:r w:rsidRPr="00C80E1B">
        <w:rPr>
          <w:rFonts w:ascii="Arial" w:eastAsia="MS Mincho" w:hAnsi="Arial"/>
          <w:sz w:val="22"/>
          <w:szCs w:val="22"/>
        </w:rPr>
        <w:t>autora.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>Consigno, em primeiro lugar, que a inexistência de prévia postulação administrativa para a concessão ou revisão de benefício previdenciário não induz à carência de ação da parte autora, pois ela não é obrigada a ingressar em tal instância a fim de buscar em juízo a assecuração de seu direito.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>Não há, em tais casos, violação ao princípio da separação dos poderes ou ao art. 5º, XXXV, da CF/88, conforme estratificada posição deste sodalício</w:t>
      </w:r>
      <w:r w:rsidRPr="00C80E1B">
        <w:rPr>
          <w:rStyle w:val="Refdenotaderodap"/>
          <w:rFonts w:ascii="Arial" w:eastAsia="MS Mincho" w:hAnsi="Arial"/>
          <w:sz w:val="22"/>
          <w:szCs w:val="22"/>
        </w:rPr>
        <w:footnoteReference w:id="2"/>
      </w:r>
      <w:r w:rsidRPr="00C80E1B">
        <w:rPr>
          <w:rFonts w:ascii="Arial" w:eastAsia="MS Mincho" w:hAnsi="Arial"/>
          <w:sz w:val="22"/>
          <w:szCs w:val="22"/>
        </w:rPr>
        <w:t>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>Ainda, tratando-se de benefício com prazo certo limitado a cento e vinte dias, não se há de falar em remessa oficial, porquanto certo que o valor da condenação não ultrapassa o teto previsto no art. 475, § 2º, do CPC.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Pois bem, o comando exarado há de permanecer hígido, </w:t>
      </w:r>
      <w:r w:rsidRPr="00C80E1B">
        <w:rPr>
          <w:rFonts w:ascii="Arial" w:eastAsia="MS Mincho" w:hAnsi="Arial"/>
          <w:sz w:val="22"/>
          <w:szCs w:val="22"/>
          <w:u w:val="single"/>
        </w:rPr>
        <w:t>quanto ao mérito</w:t>
      </w:r>
      <w:r w:rsidRPr="00C80E1B">
        <w:rPr>
          <w:rFonts w:ascii="Arial" w:eastAsia="MS Mincho" w:hAnsi="Arial"/>
          <w:sz w:val="22"/>
          <w:szCs w:val="22"/>
        </w:rPr>
        <w:t>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>Regulado atualmente pela Lei 8.213/91 o salário maternidade é concedido na forma estabelecida pelo art. 18 e art. 71, conforme se vê adiante:</w:t>
      </w:r>
    </w:p>
    <w:p w:rsidR="00EB357D" w:rsidRPr="0094635B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rFonts w:ascii="Arial" w:hAnsi="Arial" w:cs="Arial"/>
          <w:color w:val="000000"/>
          <w:sz w:val="12"/>
          <w:szCs w:val="12"/>
        </w:rPr>
      </w:pP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0"/>
          <w:szCs w:val="20"/>
        </w:rPr>
      </w:pPr>
      <w:r w:rsidRPr="0070718C">
        <w:rPr>
          <w:rFonts w:ascii="Arial" w:hAnsi="Arial" w:cs="Arial"/>
          <w:color w:val="000000"/>
          <w:sz w:val="20"/>
          <w:szCs w:val="20"/>
        </w:rPr>
        <w:t>Art. 18. O Regime Geral de Previdência Social compreende as seguintes prestações, devidas inclusive em razão de eventos decorrentes de acidente do trabalho, expressas em benefícios e serviços:</w:t>
      </w: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rFonts w:ascii="Arial" w:hAnsi="Arial" w:cs="Arial"/>
          <w:color w:val="000000"/>
          <w:sz w:val="20"/>
          <w:szCs w:val="20"/>
        </w:rPr>
      </w:pP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0"/>
          <w:szCs w:val="20"/>
        </w:rPr>
      </w:pPr>
      <w:r w:rsidRPr="0070718C">
        <w:rPr>
          <w:rFonts w:ascii="Arial" w:hAnsi="Arial" w:cs="Arial"/>
          <w:color w:val="000000"/>
          <w:sz w:val="20"/>
          <w:szCs w:val="20"/>
        </w:rPr>
        <w:t>I - quanto ao segurado:</w:t>
      </w: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0"/>
          <w:szCs w:val="20"/>
        </w:rPr>
      </w:pPr>
      <w:r w:rsidRPr="0070718C">
        <w:rPr>
          <w:rFonts w:ascii="Arial" w:hAnsi="Arial" w:cs="Arial"/>
          <w:color w:val="000000"/>
          <w:sz w:val="20"/>
          <w:szCs w:val="20"/>
        </w:rPr>
        <w:t>(...)</w:t>
      </w: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0718C">
        <w:rPr>
          <w:rFonts w:ascii="Arial" w:hAnsi="Arial" w:cs="Arial"/>
          <w:b/>
          <w:color w:val="000000"/>
          <w:sz w:val="20"/>
          <w:szCs w:val="20"/>
        </w:rPr>
        <w:t>g) salário-maternidade;</w:t>
      </w: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color w:val="000000"/>
          <w:sz w:val="20"/>
          <w:szCs w:val="20"/>
        </w:rPr>
      </w:pPr>
      <w:r w:rsidRPr="0070718C">
        <w:rPr>
          <w:rFonts w:ascii="Arial" w:hAnsi="Arial" w:cs="Arial"/>
          <w:color w:val="000000"/>
          <w:sz w:val="20"/>
          <w:szCs w:val="20"/>
        </w:rPr>
        <w:t>(...)</w:t>
      </w:r>
    </w:p>
    <w:p w:rsidR="00EB357D" w:rsidRPr="0070718C" w:rsidRDefault="00EB357D" w:rsidP="00EB357D">
      <w:pPr>
        <w:pStyle w:val="NormalWeb"/>
        <w:spacing w:before="0" w:beforeAutospacing="0" w:after="0" w:afterAutospacing="0"/>
        <w:ind w:left="2268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art71."/>
      <w:bookmarkEnd w:id="0"/>
      <w:r w:rsidRPr="0070718C">
        <w:rPr>
          <w:rFonts w:ascii="Arial" w:hAnsi="Arial" w:cs="Arial"/>
          <w:color w:val="000000"/>
          <w:sz w:val="20"/>
          <w:szCs w:val="20"/>
        </w:rPr>
        <w:t xml:space="preserve">Art. 71. </w:t>
      </w:r>
      <w:r w:rsidRPr="0070718C">
        <w:rPr>
          <w:rFonts w:ascii="Arial" w:hAnsi="Arial" w:cs="Arial"/>
          <w:b/>
          <w:color w:val="000000"/>
          <w:sz w:val="20"/>
          <w:szCs w:val="20"/>
        </w:rPr>
        <w:t>O salário-maternidade é devido à segurada da Previdência Social, durante 120 (cento e vinte) dias, com início no período entre 28 (vinte e oito) dias antes do parto e a data de ocorrência deste, observadas as situações e condições previstas na legislação no que concerne à proteção à maternidade</w:t>
      </w:r>
      <w:r w:rsidRPr="0070718C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EB357D" w:rsidRPr="0094635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12"/>
          <w:szCs w:val="12"/>
        </w:rPr>
      </w:pP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>O reconhecimento da qualidade de segurada especial apta a receber o específico benefício tratado nos autos desafia o preenchimento dos seguintes requisitos fundamentais: a existência de início de prova material da atividade rural exercida, a corroboração dessa prova indiciária por robusta prova testemunhal e, final</w:t>
      </w:r>
      <w:r>
        <w:rPr>
          <w:rFonts w:ascii="Arial" w:eastAsia="MS Mincho" w:hAnsi="Arial"/>
          <w:sz w:val="22"/>
          <w:szCs w:val="22"/>
        </w:rPr>
        <w:t>mente, para obtenção do salário-</w:t>
      </w:r>
      <w:r w:rsidRPr="00C80E1B">
        <w:rPr>
          <w:rFonts w:ascii="Arial" w:eastAsia="MS Mincho" w:hAnsi="Arial"/>
          <w:sz w:val="22"/>
          <w:szCs w:val="22"/>
        </w:rPr>
        <w:t>maternidade ora questionado, a comprovação do exercício de atividade rural, ainda que de forma descontínua, nos 10 (dez) meses imediatamente anteriores ao do início do benefício, como define o § 2º do art. 93 do Decreto 3.048/99.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Na espécie, esses requisitos foram atendidos pela parte autora, pois os documentos trazidos com a inicial servem como início de prova material da atividade rural </w:t>
      </w:r>
      <w:r w:rsidRPr="00C80E1B">
        <w:rPr>
          <w:rFonts w:ascii="Arial" w:eastAsia="MS Mincho" w:hAnsi="Arial"/>
          <w:sz w:val="22"/>
          <w:szCs w:val="22"/>
        </w:rPr>
        <w:lastRenderedPageBreak/>
        <w:t xml:space="preserve">alegada, já que apontam para o desempenho do labor campesino da parte autora, a teor do entendimento sufragado pelo STJ, por esta Turma, e pela 1ª Seção deste TRF. 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Mais, os testemunhos colhidos pelo Juízo </w:t>
      </w:r>
      <w:r w:rsidRPr="00C80E1B">
        <w:rPr>
          <w:rFonts w:ascii="Arial" w:eastAsia="MS Mincho" w:hAnsi="Arial"/>
          <w:i/>
          <w:sz w:val="22"/>
          <w:szCs w:val="22"/>
        </w:rPr>
        <w:t>a quo</w:t>
      </w:r>
      <w:r w:rsidRPr="00C80E1B">
        <w:rPr>
          <w:rFonts w:ascii="Arial" w:eastAsia="MS Mincho" w:hAnsi="Arial"/>
          <w:sz w:val="22"/>
          <w:szCs w:val="22"/>
        </w:rPr>
        <w:t xml:space="preserve"> corroboraram a documentação em comento, demonstrando o labor rural por período superior ao da carência exigida.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Deve ser consignado, por importante, que eventuais registros no CNIS de vínculos urbanos </w:t>
      </w:r>
      <w:r w:rsidRPr="00C80E1B">
        <w:rPr>
          <w:rFonts w:ascii="Arial" w:eastAsia="MS Mincho" w:hAnsi="Arial"/>
          <w:sz w:val="22"/>
          <w:szCs w:val="22"/>
          <w:u w:val="single"/>
        </w:rPr>
        <w:t>esparsos e exíguos</w:t>
      </w:r>
      <w:r w:rsidRPr="00C80E1B">
        <w:rPr>
          <w:rFonts w:ascii="Arial" w:eastAsia="MS Mincho" w:hAnsi="Arial"/>
          <w:sz w:val="22"/>
          <w:szCs w:val="22"/>
        </w:rPr>
        <w:t xml:space="preserve"> não infirmam a condição de trabalhador rural do segurado nessa condição, na hipótese em que o acervo probante presente nos autos aponte para essa direção.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No mesmo sentido, a simples inscrição do segurado como contribuinte individual autônomo, com a simples aposição de determinada profissão, </w:t>
      </w:r>
      <w:r w:rsidRPr="00C80E1B">
        <w:rPr>
          <w:rFonts w:ascii="Arial" w:eastAsia="MS Mincho" w:hAnsi="Arial"/>
          <w:sz w:val="22"/>
          <w:szCs w:val="22"/>
          <w:u w:val="single"/>
        </w:rPr>
        <w:t>sem vínculos empregatícios</w:t>
      </w:r>
      <w:r w:rsidRPr="00C80E1B">
        <w:rPr>
          <w:rFonts w:ascii="Arial" w:eastAsia="MS Mincho" w:hAnsi="Arial"/>
          <w:sz w:val="22"/>
          <w:szCs w:val="22"/>
        </w:rPr>
        <w:t xml:space="preserve"> </w:t>
      </w:r>
      <w:r w:rsidRPr="00C80E1B">
        <w:rPr>
          <w:rFonts w:ascii="Arial" w:eastAsia="MS Mincho" w:hAnsi="Arial"/>
          <w:b/>
          <w:sz w:val="22"/>
          <w:szCs w:val="22"/>
          <w:u w:val="single"/>
        </w:rPr>
        <w:t>comprovados</w:t>
      </w:r>
      <w:r w:rsidRPr="00C80E1B">
        <w:rPr>
          <w:rFonts w:ascii="Arial" w:eastAsia="MS Mincho" w:hAnsi="Arial"/>
          <w:sz w:val="22"/>
          <w:szCs w:val="22"/>
        </w:rPr>
        <w:t xml:space="preserve">, também não descaracteriza a predominância do labor rural do segurado, na hipótese em que o </w:t>
      </w:r>
      <w:r w:rsidRPr="00C80E1B">
        <w:rPr>
          <w:rFonts w:ascii="Arial" w:eastAsia="MS Mincho" w:hAnsi="Arial"/>
          <w:sz w:val="22"/>
          <w:szCs w:val="22"/>
          <w:u w:val="single"/>
        </w:rPr>
        <w:t>conjunto</w:t>
      </w:r>
      <w:r w:rsidRPr="00C80E1B">
        <w:rPr>
          <w:rFonts w:ascii="Arial" w:eastAsia="MS Mincho" w:hAnsi="Arial"/>
          <w:sz w:val="22"/>
          <w:szCs w:val="22"/>
        </w:rPr>
        <w:t xml:space="preserve"> das provas produzidas indicar tal situação. 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eastAsia="MS Mincho" w:hAnsi="Arial"/>
          <w:sz w:val="22"/>
          <w:szCs w:val="22"/>
        </w:rPr>
      </w:pPr>
      <w:r w:rsidRPr="00C80E1B">
        <w:rPr>
          <w:rFonts w:ascii="Arial" w:eastAsia="MS Mincho" w:hAnsi="Arial"/>
          <w:sz w:val="22"/>
          <w:szCs w:val="22"/>
        </w:rPr>
        <w:t xml:space="preserve"> </w:t>
      </w:r>
    </w:p>
    <w:p w:rsidR="00EB357D" w:rsidRPr="00C80E1B" w:rsidRDefault="00EB357D" w:rsidP="00EB357D">
      <w:pPr>
        <w:pStyle w:val="Pargrafo"/>
        <w:widowControl w:val="0"/>
        <w:spacing w:before="0" w:after="0" w:line="360" w:lineRule="auto"/>
        <w:rPr>
          <w:szCs w:val="22"/>
        </w:rPr>
      </w:pPr>
      <w:r w:rsidRPr="00C80E1B">
        <w:rPr>
          <w:b/>
          <w:szCs w:val="22"/>
          <w:u w:val="single"/>
        </w:rPr>
        <w:t>No que é acessório</w:t>
      </w:r>
      <w:r w:rsidRPr="00C80E1B">
        <w:rPr>
          <w:szCs w:val="22"/>
        </w:rPr>
        <w:t xml:space="preserve">: </w:t>
      </w:r>
    </w:p>
    <w:p w:rsidR="00EB357D" w:rsidRPr="00C80E1B" w:rsidRDefault="00EB357D" w:rsidP="00EB357D">
      <w:pPr>
        <w:pStyle w:val="Pargrafo"/>
        <w:widowControl w:val="0"/>
        <w:spacing w:before="0" w:after="0" w:line="360" w:lineRule="auto"/>
        <w:rPr>
          <w:b/>
          <w:szCs w:val="22"/>
        </w:rPr>
      </w:pPr>
    </w:p>
    <w:p w:rsidR="00EB357D" w:rsidRPr="00C80E1B" w:rsidRDefault="00EB357D" w:rsidP="00EB357D">
      <w:pPr>
        <w:pStyle w:val="Pargrafo"/>
        <w:widowControl w:val="0"/>
        <w:spacing w:before="0" w:after="0" w:line="360" w:lineRule="auto"/>
        <w:rPr>
          <w:szCs w:val="22"/>
        </w:rPr>
      </w:pPr>
      <w:r w:rsidRPr="00C80E1B">
        <w:rPr>
          <w:b/>
          <w:szCs w:val="22"/>
        </w:rPr>
        <w:t>a)</w:t>
      </w:r>
      <w:r w:rsidRPr="00C80E1B">
        <w:rPr>
          <w:szCs w:val="22"/>
        </w:rPr>
        <w:t xml:space="preserve"> O valor do benefício, a ser pago de uma só vez, em face do transcurso do tempo, equivale a quatro prestações (cento e vinte dias) do salário mínimo vigente à época do parto, atualizável a partir de então.</w:t>
      </w:r>
    </w:p>
    <w:p w:rsidR="00EB357D" w:rsidRPr="00C80E1B" w:rsidRDefault="00EB357D" w:rsidP="00EB357D">
      <w:pPr>
        <w:pStyle w:val="Pargrafo"/>
        <w:widowControl w:val="0"/>
        <w:spacing w:before="0" w:after="0" w:line="360" w:lineRule="auto"/>
        <w:rPr>
          <w:szCs w:val="22"/>
        </w:rPr>
      </w:pPr>
      <w:r w:rsidRPr="00C80E1B">
        <w:rPr>
          <w:szCs w:val="22"/>
        </w:rPr>
        <w:t>Apartando-se o comando da origem dessa estipulação, sua reforma desafia recurso voluntário da parte prejudicada.</w:t>
      </w:r>
    </w:p>
    <w:p w:rsidR="00EB357D" w:rsidRPr="00C80E1B" w:rsidRDefault="00EB357D" w:rsidP="00EB357D">
      <w:pPr>
        <w:pStyle w:val="Pargrafo"/>
        <w:widowControl w:val="0"/>
        <w:spacing w:before="0" w:after="0" w:line="360" w:lineRule="auto"/>
        <w:ind w:firstLine="1440"/>
        <w:rPr>
          <w:szCs w:val="22"/>
        </w:rPr>
      </w:pPr>
      <w:r w:rsidRPr="00C80E1B">
        <w:rPr>
          <w:rFonts w:cs="Arial"/>
          <w:b/>
          <w:szCs w:val="22"/>
        </w:rPr>
        <w:t>b)</w:t>
      </w:r>
      <w:r w:rsidRPr="00C80E1B">
        <w:rPr>
          <w:rFonts w:cs="Arial"/>
          <w:szCs w:val="22"/>
        </w:rPr>
        <w:t xml:space="preserve"> </w:t>
      </w:r>
      <w:r w:rsidRPr="00716B83">
        <w:rPr>
          <w:rFonts w:cs="Arial"/>
          <w:szCs w:val="22"/>
        </w:rPr>
        <w:t>A correção monetária deve ser feita com base nos índices do Manual de Cálculos da Justiça Federal, aplicando-se o IPCA-E após a entrada em vigor da Lei nº 11.960/2009, tendo em vista a imprestabilidade da TR – atualmente usada na remuneração das cadernetas de poupança – como índice de correção monetária de débitos judiciais, conforme fundamentos utilizados pelo STF no julgamento das ADI nº 493 e 4.357/DF, e ainda pelo STJ no julgamento do REsp nº 1.270.439/PR, pelo rito do art. 543-C do CPC.</w:t>
      </w:r>
    </w:p>
    <w:p w:rsidR="00EB357D" w:rsidRDefault="00EB357D" w:rsidP="00EB357D">
      <w:pPr>
        <w:pStyle w:val="Pargrafo"/>
        <w:spacing w:before="0" w:after="0" w:line="360" w:lineRule="auto"/>
        <w:rPr>
          <w:rFonts w:eastAsia="MS Mincho" w:cs="Arial"/>
          <w:bCs/>
          <w:szCs w:val="22"/>
        </w:rPr>
      </w:pPr>
      <w:r w:rsidRPr="00C80E1B">
        <w:rPr>
          <w:rFonts w:eastAsia="MS Mincho" w:cs="Arial"/>
          <w:b/>
          <w:bCs/>
          <w:szCs w:val="22"/>
        </w:rPr>
        <w:t>c)</w:t>
      </w:r>
      <w:r w:rsidRPr="00C80E1B">
        <w:rPr>
          <w:rFonts w:eastAsia="MS Mincho" w:cs="Arial"/>
          <w:bCs/>
          <w:szCs w:val="22"/>
        </w:rPr>
        <w:t xml:space="preserve"> Em questões de índole previdenciária os juros de mora são fixados em 1% ao mês, a contar da citação, em relação às parcelas a ela anteriores, e de cada vencimento, quanto às subseqüentes, incidindo com essa taxa até a entrada em vigor da Lei nº 11.960/2009, a partir de quando serão reduzidos para 0,5% ao mês, tendo em vista que estes são os juros aplicados nas cadernetas de poupança. </w:t>
      </w:r>
    </w:p>
    <w:p w:rsidR="00EB357D" w:rsidRPr="008A11B5" w:rsidRDefault="00EB357D" w:rsidP="00EB357D">
      <w:pPr>
        <w:pStyle w:val="Pargrafo"/>
        <w:spacing w:before="0" w:after="0" w:line="360" w:lineRule="auto"/>
        <w:rPr>
          <w:rFonts w:eastAsia="MS Mincho" w:cs="Arial"/>
          <w:bCs/>
          <w:szCs w:val="22"/>
        </w:rPr>
      </w:pPr>
      <w:r>
        <w:rPr>
          <w:rFonts w:eastAsia="MS Mincho" w:cs="Arial"/>
          <w:bCs/>
          <w:szCs w:val="22"/>
        </w:rPr>
        <w:t>O termo final dos juros corresponde à data</w:t>
      </w:r>
      <w:r w:rsidRPr="008A11B5">
        <w:rPr>
          <w:rFonts w:eastAsia="MS Mincho" w:cs="Arial"/>
          <w:bCs/>
          <w:szCs w:val="22"/>
        </w:rPr>
        <w:t xml:space="preserve"> </w:t>
      </w:r>
      <w:r>
        <w:rPr>
          <w:rFonts w:eastAsia="MS Mincho" w:cs="Arial"/>
          <w:bCs/>
          <w:szCs w:val="22"/>
        </w:rPr>
        <w:t>do trânsito em julgado deste acórdão, na hipótese de inexistir oposição de embargos à execução pelo INSS. Caso proposta a ação incidental, o termo final dos juros corresponde à data da decisão judicial última e não recorrida que homologa definitivamente os cálculos exeqüendos.</w:t>
      </w:r>
    </w:p>
    <w:p w:rsidR="00EB357D" w:rsidRPr="00C80E1B" w:rsidRDefault="00EB357D" w:rsidP="00EB357D">
      <w:pPr>
        <w:pStyle w:val="Pargrafo"/>
        <w:spacing w:before="0" w:after="0" w:line="360" w:lineRule="auto"/>
        <w:rPr>
          <w:rFonts w:cs="Arial"/>
          <w:szCs w:val="22"/>
        </w:rPr>
      </w:pPr>
      <w:r w:rsidRPr="00C80E1B">
        <w:rPr>
          <w:rFonts w:cs="Arial"/>
          <w:b/>
          <w:szCs w:val="22"/>
        </w:rPr>
        <w:t>d)</w:t>
      </w:r>
      <w:r w:rsidRPr="00C80E1B">
        <w:rPr>
          <w:rFonts w:cs="Arial"/>
          <w:szCs w:val="22"/>
        </w:rPr>
        <w:t xml:space="preserve"> Os honorários advocatícios, em casos que tais, são fixados em 10% das prestações.</w:t>
      </w:r>
    </w:p>
    <w:p w:rsidR="00EB357D" w:rsidRPr="00C80E1B" w:rsidRDefault="00EB357D" w:rsidP="00EB357D">
      <w:pPr>
        <w:pStyle w:val="Pargrafo"/>
        <w:spacing w:before="0" w:after="0" w:line="360" w:lineRule="auto"/>
        <w:rPr>
          <w:rFonts w:cs="Arial"/>
          <w:szCs w:val="22"/>
        </w:rPr>
      </w:pPr>
      <w:r w:rsidRPr="00C80E1B">
        <w:rPr>
          <w:rFonts w:cs="Arial"/>
          <w:szCs w:val="22"/>
        </w:rPr>
        <w:t xml:space="preserve">Tal parcela é devida igualmente nos feitos em que não houve prévia postulação administrativa, tendo em vista que o INSS não requereu a suspensão do feito para, </w:t>
      </w:r>
      <w:r w:rsidRPr="00C80E1B">
        <w:rPr>
          <w:rFonts w:cs="Arial"/>
          <w:szCs w:val="22"/>
        </w:rPr>
        <w:lastRenderedPageBreak/>
        <w:t xml:space="preserve">administrativamente, analisar a prevalência do pedido formulado, optando a autarquia por dar continuidade ao processo judicial em seus ulteriores termos.  </w:t>
      </w:r>
    </w:p>
    <w:p w:rsidR="00EB357D" w:rsidRPr="00C80E1B" w:rsidRDefault="00EB357D" w:rsidP="00EB357D">
      <w:pPr>
        <w:pStyle w:val="Pargrafo"/>
        <w:spacing w:before="0" w:after="0" w:line="360" w:lineRule="auto"/>
        <w:rPr>
          <w:rFonts w:cs="Arial"/>
          <w:b/>
          <w:szCs w:val="22"/>
        </w:rPr>
      </w:pPr>
      <w:r w:rsidRPr="00C80E1B">
        <w:rPr>
          <w:rFonts w:cs="Arial"/>
          <w:b/>
          <w:szCs w:val="22"/>
        </w:rPr>
        <w:t xml:space="preserve">e) </w:t>
      </w:r>
      <w:r w:rsidRPr="00C80E1B">
        <w:rPr>
          <w:rFonts w:cs="Arial"/>
          <w:szCs w:val="22"/>
        </w:rPr>
        <w:t xml:space="preserve">Nos feitos processados perante a Justiça Estadual o INSS é isento do pagamento de custas nos </w:t>
      </w:r>
      <w:r>
        <w:rPr>
          <w:rFonts w:cs="Arial"/>
          <w:szCs w:val="22"/>
        </w:rPr>
        <w:t>e</w:t>
      </w:r>
      <w:r w:rsidRPr="00C80E1B">
        <w:rPr>
          <w:rFonts w:cs="Arial"/>
          <w:szCs w:val="22"/>
        </w:rPr>
        <w:t xml:space="preserve">stados de Minas Gerais, Goiás, </w:t>
      </w:r>
      <w:r w:rsidRPr="00534124">
        <w:rPr>
          <w:rFonts w:cs="Arial"/>
          <w:szCs w:val="22"/>
        </w:rPr>
        <w:t>Rondônia</w:t>
      </w:r>
      <w:r>
        <w:rPr>
          <w:rFonts w:cs="Arial"/>
          <w:szCs w:val="22"/>
        </w:rPr>
        <w:t>,</w:t>
      </w:r>
      <w:r w:rsidRPr="00534124">
        <w:rPr>
          <w:rFonts w:cs="Arial"/>
          <w:szCs w:val="22"/>
        </w:rPr>
        <w:t xml:space="preserve"> Mato Grosso</w:t>
      </w:r>
      <w:r>
        <w:rPr>
          <w:rFonts w:cs="Arial"/>
          <w:szCs w:val="22"/>
        </w:rPr>
        <w:t xml:space="preserve"> e Piauí</w:t>
      </w:r>
      <w:r w:rsidRPr="00534124">
        <w:rPr>
          <w:rFonts w:cs="Arial"/>
          <w:szCs w:val="22"/>
        </w:rPr>
        <w:t>.</w:t>
      </w:r>
    </w:p>
    <w:p w:rsidR="00EB357D" w:rsidRPr="00C80E1B" w:rsidRDefault="00EB357D" w:rsidP="00EB357D">
      <w:pPr>
        <w:pStyle w:val="Pargrafo"/>
        <w:spacing w:before="0" w:after="0" w:line="360" w:lineRule="auto"/>
        <w:rPr>
          <w:rFonts w:eastAsia="MS Mincho" w:cs="Arial"/>
          <w:bCs/>
          <w:szCs w:val="22"/>
        </w:rPr>
      </w:pPr>
      <w:r w:rsidRPr="00C80E1B">
        <w:rPr>
          <w:rFonts w:eastAsia="MS Mincho" w:cs="Arial"/>
          <w:bCs/>
          <w:szCs w:val="22"/>
          <w:u w:val="single"/>
        </w:rPr>
        <w:t>Também em relação a esses últimos tópicos (correção, juros, honorários e custas) se aplica a observação (letra “a”, parte final</w:t>
      </w:r>
      <w:r w:rsidRPr="00C80E1B">
        <w:rPr>
          <w:rFonts w:eastAsia="MS Mincho" w:cs="Arial"/>
          <w:bCs/>
          <w:szCs w:val="22"/>
        </w:rPr>
        <w:t xml:space="preserve">). </w:t>
      </w:r>
    </w:p>
    <w:p w:rsidR="00EB357D" w:rsidRPr="00C80E1B" w:rsidRDefault="00EB357D" w:rsidP="00EB357D">
      <w:pPr>
        <w:pStyle w:val="Pargrafo"/>
        <w:widowControl w:val="0"/>
        <w:spacing w:before="0" w:after="0" w:line="360" w:lineRule="auto"/>
        <w:rPr>
          <w:rFonts w:cs="Arial"/>
          <w:szCs w:val="22"/>
        </w:rPr>
      </w:pPr>
      <w:r>
        <w:rPr>
          <w:rFonts w:cs="Arial"/>
          <w:szCs w:val="22"/>
        </w:rPr>
        <w:t>Ante o exposto, dou parcial</w:t>
      </w:r>
      <w:r w:rsidRPr="00D15AFD">
        <w:rPr>
          <w:rFonts w:cs="Arial"/>
          <w:szCs w:val="22"/>
        </w:rPr>
        <w:t xml:space="preserve"> provimento à apelação</w:t>
      </w:r>
      <w:r>
        <w:rPr>
          <w:rFonts w:cs="Arial"/>
          <w:szCs w:val="22"/>
        </w:rPr>
        <w:t xml:space="preserve"> para no cumprimento do julgado seja observado o disposto no item “d” supra.</w:t>
      </w:r>
    </w:p>
    <w:p w:rsidR="00EB357D" w:rsidRPr="00C80E1B" w:rsidRDefault="00EB357D" w:rsidP="00EB357D">
      <w:pPr>
        <w:pStyle w:val="Cabealho"/>
        <w:spacing w:line="360" w:lineRule="auto"/>
        <w:ind w:firstLine="1440"/>
        <w:jc w:val="both"/>
        <w:rPr>
          <w:rFonts w:ascii="Arial" w:hAnsi="Arial" w:cs="Arial"/>
          <w:sz w:val="22"/>
          <w:szCs w:val="22"/>
        </w:rPr>
      </w:pPr>
      <w:r w:rsidRPr="00C80E1B">
        <w:rPr>
          <w:rFonts w:ascii="Arial" w:hAnsi="Arial" w:cs="Arial"/>
          <w:sz w:val="22"/>
          <w:szCs w:val="22"/>
        </w:rPr>
        <w:t>É o voto.</w:t>
      </w:r>
    </w:p>
    <w:p w:rsidR="00EB357D" w:rsidRPr="00EB357D" w:rsidRDefault="00EB357D" w:rsidP="00EB357D">
      <w:pPr>
        <w:pStyle w:val="Identificao"/>
        <w:ind w:left="709" w:firstLine="709"/>
      </w:pPr>
    </w:p>
    <w:sectPr w:rsidR="00EB357D" w:rsidRPr="00EB357D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259" w:rsidRDefault="00D86259">
      <w:r>
        <w:separator/>
      </w:r>
    </w:p>
  </w:endnote>
  <w:endnote w:type="continuationSeparator" w:id="1">
    <w:p w:rsidR="00D86259" w:rsidRDefault="00D862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F034CF">
      <w:rPr>
        <w:rFonts w:ascii="Arial" w:hAnsi="Arial"/>
        <w:noProof/>
        <w:sz w:val="10"/>
      </w:rPr>
      <w:t>W:\Neuza 2013\2ª Turma\Previdenciário\Salário-Maternidade Rural\AC0045031-72MG - NS - SAMR.Apelo INSS.mantém sentença.prévio req. d.sem REO.doc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F034CF">
      <w:rPr>
        <w:rFonts w:ascii="Arial" w:hAnsi="Arial"/>
        <w:noProof/>
        <w:sz w:val="13"/>
      </w:rPr>
      <w:t>W:\Neuza 2013\2ª Turma\Previdenciário\Salário-Maternidade Rural\AC0045031-72MG - NS - SAMR.Apelo INSS.mantém sentença.prévio req. d.sem REO.doc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F034CF">
      <w:rPr>
        <w:rFonts w:ascii="Arial" w:hAnsi="Arial"/>
        <w:noProof/>
        <w:sz w:val="13"/>
      </w:rPr>
      <w:t>tr1603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259" w:rsidRDefault="00D86259">
      <w:r>
        <w:separator/>
      </w:r>
    </w:p>
  </w:footnote>
  <w:footnote w:type="continuationSeparator" w:id="1">
    <w:p w:rsidR="00D86259" w:rsidRDefault="00D86259">
      <w:r>
        <w:continuationSeparator/>
      </w:r>
    </w:p>
  </w:footnote>
  <w:footnote w:id="2">
    <w:p w:rsidR="00EB357D" w:rsidRPr="00A2058D" w:rsidRDefault="00EB357D" w:rsidP="00EB357D">
      <w:pPr>
        <w:pStyle w:val="Textodenotaderodap"/>
        <w:rPr>
          <w:rFonts w:ascii="Arial" w:hAnsi="Arial" w:cs="Arial"/>
          <w:sz w:val="16"/>
          <w:szCs w:val="16"/>
        </w:rPr>
      </w:pPr>
      <w:r w:rsidRPr="00A2058D">
        <w:rPr>
          <w:rStyle w:val="Refdenotaderodap"/>
          <w:rFonts w:ascii="Arial" w:hAnsi="Arial" w:cs="Arial"/>
          <w:sz w:val="16"/>
          <w:szCs w:val="16"/>
        </w:rPr>
        <w:footnoteRef/>
      </w:r>
      <w:r w:rsidRPr="00A2058D">
        <w:rPr>
          <w:rFonts w:ascii="Arial" w:hAnsi="Arial" w:cs="Arial"/>
          <w:sz w:val="16"/>
          <w:szCs w:val="16"/>
        </w:rPr>
        <w:t xml:space="preserve"> Como exemplo, AC 0004024-08.2010.4.01.9199/MG, e-DJF1 p.320 de 07/10/2011.</w:t>
      </w:r>
    </w:p>
    <w:p w:rsidR="00EB357D" w:rsidRPr="00A2058D" w:rsidRDefault="00EB357D" w:rsidP="00EB357D">
      <w:pPr>
        <w:pStyle w:val="Textodenotaderodap"/>
        <w:rPr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4428D9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4428D9">
      <w:rPr>
        <w:rFonts w:ascii="Arial" w:hAnsi="Arial" w:cs="Arial"/>
        <w:bCs/>
        <w:noProof/>
        <w:sz w:val="16"/>
      </w:rPr>
      <w:t>4</w:t>
    </w:r>
    <w:r>
      <w:rPr>
        <w:rFonts w:ascii="Arial" w:hAnsi="Arial" w:cs="Arial"/>
        <w:bCs/>
        <w:sz w:val="16"/>
      </w:rPr>
      <w:fldChar w:fldCharType="end"/>
    </w:r>
  </w:p>
  <w:p w:rsidR="00EB357D" w:rsidRPr="00EB357D" w:rsidRDefault="00EB357D">
    <w:pPr>
      <w:tabs>
        <w:tab w:val="right" w:pos="9540"/>
      </w:tabs>
      <w:spacing w:after="120"/>
      <w:rPr>
        <w:rFonts w:ascii="Arial" w:hAnsi="Arial" w:cs="Arial"/>
        <w:bCs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57D" w:rsidRPr="00EB357D" w:rsidRDefault="00EB357D" w:rsidP="00EB357D">
    <w:pPr>
      <w:jc w:val="right"/>
      <w:rPr>
        <w:rFonts w:ascii="Interleaved 2of5" w:hAnsi="Interleaved 2of5"/>
        <w:sz w:val="48"/>
      </w:rPr>
    </w:pPr>
    <w:r w:rsidRPr="00EB357D">
      <w:rPr>
        <w:rFonts w:ascii="Interleaved 2of5" w:hAnsi="Interleaved 2of5"/>
        <w:sz w:val="48"/>
      </w:rPr>
      <w:t>(]3AF1R1éñ)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476529BC"/>
    <w:multiLevelType w:val="hybridMultilevel"/>
    <w:tmpl w:val="37C00EDA"/>
    <w:lvl w:ilvl="0" w:tplc="FB324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4CF"/>
    <w:rsid w:val="0015179D"/>
    <w:rsid w:val="00191A8C"/>
    <w:rsid w:val="002331F7"/>
    <w:rsid w:val="00413610"/>
    <w:rsid w:val="004269A8"/>
    <w:rsid w:val="004428D9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86259"/>
    <w:rsid w:val="00DD0AC9"/>
    <w:rsid w:val="00E850E4"/>
    <w:rsid w:val="00EB357D"/>
    <w:rsid w:val="00EE6447"/>
    <w:rsid w:val="00F03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link w:val="CabealhoChar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rsid w:val="00EB357D"/>
    <w:rPr>
      <w:rFonts w:ascii="Courier New" w:hAnsi="Courier New" w:cs="Courier New"/>
      <w:sz w:val="20"/>
      <w:szCs w:val="20"/>
    </w:rPr>
  </w:style>
  <w:style w:type="paragraph" w:styleId="Corpodetexto">
    <w:name w:val="Body Text"/>
    <w:basedOn w:val="Normal"/>
    <w:rsid w:val="00EB357D"/>
    <w:pPr>
      <w:jc w:val="both"/>
    </w:pPr>
    <w:rPr>
      <w:rFonts w:ascii="Arial" w:hAnsi="Arial"/>
      <w:lang w:eastAsia="en-US"/>
    </w:rPr>
  </w:style>
  <w:style w:type="paragraph" w:styleId="NormalWeb">
    <w:name w:val="Normal (Web)"/>
    <w:basedOn w:val="Normal"/>
    <w:rsid w:val="00EB357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EB357D"/>
    <w:rPr>
      <w:color w:val="0000FF"/>
      <w:u w:val="single"/>
    </w:rPr>
  </w:style>
  <w:style w:type="paragraph" w:styleId="Textodenotaderodap">
    <w:name w:val="footnote text"/>
    <w:basedOn w:val="Normal"/>
    <w:semiHidden/>
    <w:rsid w:val="00EB357D"/>
    <w:rPr>
      <w:sz w:val="20"/>
      <w:szCs w:val="20"/>
    </w:rPr>
  </w:style>
  <w:style w:type="character" w:styleId="Refdenotaderodap">
    <w:name w:val="footnote reference"/>
    <w:basedOn w:val="Fontepargpadro"/>
    <w:semiHidden/>
    <w:rsid w:val="00EB357D"/>
    <w:rPr>
      <w:vertAlign w:val="superscript"/>
    </w:rPr>
  </w:style>
  <w:style w:type="character" w:customStyle="1" w:styleId="CabealhoChar">
    <w:name w:val="Cabeçalho Char"/>
    <w:basedOn w:val="Fontepargpadro"/>
    <w:link w:val="Cabealho"/>
    <w:rsid w:val="00EB357D"/>
    <w:rPr>
      <w:sz w:val="24"/>
      <w:szCs w:val="24"/>
      <w:lang w:val="pt-BR"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4</Pages>
  <Words>1018</Words>
  <Characters>5502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6507</CharactersWithSpaces>
  <SharedDoc>false</SharedDoc>
  <HLinks>
    <vt:vector size="6" baseType="variant">
      <vt:variant>
        <vt:i4>983089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http://www.planalto.gov.br/ccivil_03/Leis/2003/L10.710.htm</vt:lpwstr>
      </vt:variant>
      <vt:variant>
        <vt:lpwstr>art71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tr1603</dc:creator>
  <cp:keywords/>
  <dc:description/>
  <cp:lastModifiedBy>tr17680ps</cp:lastModifiedBy>
  <cp:revision>2</cp:revision>
  <cp:lastPrinted>2013-11-11T16:36:00Z</cp:lastPrinted>
  <dcterms:created xsi:type="dcterms:W3CDTF">2013-11-29T12:01:00Z</dcterms:created>
  <dcterms:modified xsi:type="dcterms:W3CDTF">2013-11-29T12:01:00Z</dcterms:modified>
</cp:coreProperties>
</file>