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77A" w:rsidRDefault="00A6177A" w:rsidP="00E008CD">
      <w:pPr>
        <w:pStyle w:val="TextosemFormatao"/>
        <w:rPr>
          <w:rFonts w:ascii="Courier New" w:hAnsi="Courier New" w:cs="Courier New"/>
        </w:rPr>
      </w:pPr>
    </w:p>
    <w:p w:rsidR="00A6177A" w:rsidRPr="00E008CD" w:rsidRDefault="00A6177A" w:rsidP="00A6177A">
      <w:pPr>
        <w:pStyle w:val="Identificao"/>
      </w:pPr>
      <w:r w:rsidRPr="00E008CD">
        <w:t xml:space="preserve">Numeração Única: 57077620134013314 </w:t>
      </w:r>
    </w:p>
    <w:p w:rsidR="00A6177A" w:rsidRPr="00E008CD" w:rsidRDefault="00A6177A" w:rsidP="00A6177A">
      <w:pPr>
        <w:pStyle w:val="Identificao"/>
      </w:pPr>
      <w:r w:rsidRPr="00E008CD">
        <w:t>APELAÇÃO CÍVEL</w:t>
      </w:r>
      <w:proofErr w:type="gramStart"/>
      <w:r w:rsidRPr="00E008CD">
        <w:t xml:space="preserve">  </w:t>
      </w:r>
      <w:proofErr w:type="gramEnd"/>
      <w:r w:rsidRPr="00E008CD">
        <w:t>0005707-76.2013.4.01.3314/BA</w:t>
      </w:r>
    </w:p>
    <w:p w:rsidR="00A6177A" w:rsidRPr="00E008CD" w:rsidRDefault="00A6177A" w:rsidP="00A6177A">
      <w:pPr>
        <w:pStyle w:val="Identificao"/>
      </w:pPr>
      <w:r w:rsidRPr="00E008CD">
        <w:t>Processo na Origem: 57077620134013314</w:t>
      </w:r>
    </w:p>
    <w:p w:rsidR="00A6177A" w:rsidRPr="00E008CD" w:rsidRDefault="00A6177A" w:rsidP="00A6177A">
      <w:pPr>
        <w:pStyle w:val="Identificao"/>
      </w:pPr>
    </w:p>
    <w:p w:rsidR="00A6177A" w:rsidRPr="00E008CD" w:rsidRDefault="00A6177A" w:rsidP="00A6177A">
      <w:pPr>
        <w:pStyle w:val="Identificao"/>
      </w:pPr>
      <w:r w:rsidRPr="00E008CD">
        <w:t>&lt;#&gt;57077620134013314</w:t>
      </w:r>
    </w:p>
    <w:tbl>
      <w:tblPr>
        <w:tblW w:w="9900" w:type="dxa"/>
        <w:tblLayout w:type="fixed"/>
        <w:tblCellMar>
          <w:left w:w="70" w:type="dxa"/>
          <w:right w:w="70" w:type="dxa"/>
        </w:tblCellMar>
        <w:tblLook w:val="0000"/>
      </w:tblPr>
      <w:tblGrid>
        <w:gridCol w:w="2000"/>
        <w:gridCol w:w="300"/>
        <w:gridCol w:w="7600"/>
      </w:tblGrid>
      <w:tr w:rsidR="00A6177A" w:rsidRPr="00A6177A" w:rsidTr="00A6177A">
        <w:tc>
          <w:tcPr>
            <w:tcW w:w="2000" w:type="dxa"/>
            <w:shd w:val="clear" w:color="auto" w:fill="auto"/>
          </w:tcPr>
          <w:p w:rsidR="00A6177A" w:rsidRPr="00A6177A" w:rsidRDefault="00A6177A" w:rsidP="00A6177A">
            <w:pPr>
              <w:pStyle w:val="Identificao"/>
            </w:pPr>
            <w:proofErr w:type="gramStart"/>
            <w:r w:rsidRPr="00A6177A">
              <w:t>RELATOR(</w:t>
            </w:r>
            <w:proofErr w:type="gramEnd"/>
            <w:r w:rsidRPr="00A6177A">
              <w:t>A)</w:t>
            </w:r>
          </w:p>
        </w:tc>
        <w:tc>
          <w:tcPr>
            <w:tcW w:w="300" w:type="dxa"/>
            <w:shd w:val="clear" w:color="auto" w:fill="auto"/>
          </w:tcPr>
          <w:p w:rsidR="00A6177A" w:rsidRPr="00A6177A" w:rsidRDefault="00A6177A" w:rsidP="00A6177A">
            <w:pPr>
              <w:pStyle w:val="Identificao"/>
            </w:pPr>
            <w:r w:rsidRPr="00A6177A">
              <w:t>:</w:t>
            </w:r>
          </w:p>
        </w:tc>
        <w:tc>
          <w:tcPr>
            <w:tcW w:w="7600" w:type="dxa"/>
            <w:shd w:val="clear" w:color="auto" w:fill="auto"/>
          </w:tcPr>
          <w:p w:rsidR="00A6177A" w:rsidRPr="00A6177A" w:rsidRDefault="00A6177A" w:rsidP="00A6177A">
            <w:pPr>
              <w:pStyle w:val="Identificao"/>
            </w:pPr>
            <w:r w:rsidRPr="00A6177A">
              <w:t>JUIZ FEDERAL FABIO ROGERIO FRANÇA SOUZA</w:t>
            </w:r>
          </w:p>
        </w:tc>
      </w:tr>
      <w:tr w:rsidR="00A6177A" w:rsidRPr="00A6177A" w:rsidTr="00A6177A">
        <w:tc>
          <w:tcPr>
            <w:tcW w:w="2000" w:type="dxa"/>
            <w:shd w:val="clear" w:color="auto" w:fill="auto"/>
          </w:tcPr>
          <w:p w:rsidR="00A6177A" w:rsidRPr="00A6177A" w:rsidRDefault="00A6177A" w:rsidP="00A6177A">
            <w:pPr>
              <w:pStyle w:val="Identificao"/>
            </w:pPr>
            <w:r w:rsidRPr="00A6177A">
              <w:t>APELANTE</w:t>
            </w:r>
          </w:p>
        </w:tc>
        <w:tc>
          <w:tcPr>
            <w:tcW w:w="300" w:type="dxa"/>
            <w:shd w:val="clear" w:color="auto" w:fill="auto"/>
          </w:tcPr>
          <w:p w:rsidR="00A6177A" w:rsidRPr="00A6177A" w:rsidRDefault="00A6177A" w:rsidP="00A6177A">
            <w:pPr>
              <w:pStyle w:val="Identificao"/>
            </w:pPr>
            <w:r w:rsidRPr="00A6177A">
              <w:t>:</w:t>
            </w:r>
          </w:p>
        </w:tc>
        <w:tc>
          <w:tcPr>
            <w:tcW w:w="7600" w:type="dxa"/>
            <w:shd w:val="clear" w:color="auto" w:fill="auto"/>
          </w:tcPr>
          <w:p w:rsidR="00A6177A" w:rsidRPr="00A6177A" w:rsidRDefault="00A6177A" w:rsidP="00A6177A">
            <w:pPr>
              <w:pStyle w:val="Identificao"/>
            </w:pPr>
            <w:r w:rsidRPr="00A6177A">
              <w:t xml:space="preserve">INSTITUTO NACIONAL DO SEGURO SOCIAL - INSS </w:t>
            </w:r>
          </w:p>
        </w:tc>
      </w:tr>
      <w:tr w:rsidR="00A6177A" w:rsidRPr="00A6177A" w:rsidTr="00A6177A">
        <w:tc>
          <w:tcPr>
            <w:tcW w:w="2000" w:type="dxa"/>
            <w:shd w:val="clear" w:color="auto" w:fill="auto"/>
          </w:tcPr>
          <w:p w:rsidR="00A6177A" w:rsidRPr="00A6177A" w:rsidRDefault="00A6177A" w:rsidP="00A6177A">
            <w:pPr>
              <w:pStyle w:val="Identificao"/>
            </w:pPr>
            <w:r w:rsidRPr="00A6177A">
              <w:t>PROCURADOR</w:t>
            </w:r>
          </w:p>
        </w:tc>
        <w:tc>
          <w:tcPr>
            <w:tcW w:w="300" w:type="dxa"/>
            <w:shd w:val="clear" w:color="auto" w:fill="auto"/>
          </w:tcPr>
          <w:p w:rsidR="00A6177A" w:rsidRPr="00A6177A" w:rsidRDefault="00A6177A" w:rsidP="00A6177A">
            <w:pPr>
              <w:pStyle w:val="Identificao"/>
            </w:pPr>
            <w:r w:rsidRPr="00A6177A">
              <w:t>:</w:t>
            </w:r>
          </w:p>
        </w:tc>
        <w:tc>
          <w:tcPr>
            <w:tcW w:w="7600" w:type="dxa"/>
            <w:shd w:val="clear" w:color="auto" w:fill="auto"/>
          </w:tcPr>
          <w:p w:rsidR="00A6177A" w:rsidRPr="00A6177A" w:rsidRDefault="00A6177A" w:rsidP="00A6177A">
            <w:pPr>
              <w:pStyle w:val="Identificao"/>
            </w:pPr>
            <w:r w:rsidRPr="00A6177A">
              <w:t xml:space="preserve">ADRIANA MAIA VENTURINI </w:t>
            </w:r>
          </w:p>
        </w:tc>
      </w:tr>
      <w:tr w:rsidR="00A6177A" w:rsidRPr="00A6177A" w:rsidTr="00A6177A">
        <w:tc>
          <w:tcPr>
            <w:tcW w:w="2000" w:type="dxa"/>
            <w:shd w:val="clear" w:color="auto" w:fill="auto"/>
          </w:tcPr>
          <w:p w:rsidR="00A6177A" w:rsidRPr="00A6177A" w:rsidRDefault="00A6177A" w:rsidP="00A6177A">
            <w:pPr>
              <w:pStyle w:val="Identificao"/>
            </w:pPr>
            <w:r w:rsidRPr="00A6177A">
              <w:t>APELADO</w:t>
            </w:r>
          </w:p>
        </w:tc>
        <w:tc>
          <w:tcPr>
            <w:tcW w:w="300" w:type="dxa"/>
            <w:shd w:val="clear" w:color="auto" w:fill="auto"/>
          </w:tcPr>
          <w:p w:rsidR="00A6177A" w:rsidRPr="00A6177A" w:rsidRDefault="00A6177A" w:rsidP="00A6177A">
            <w:pPr>
              <w:pStyle w:val="Identificao"/>
            </w:pPr>
            <w:r w:rsidRPr="00A6177A">
              <w:t>:</w:t>
            </w:r>
          </w:p>
        </w:tc>
        <w:tc>
          <w:tcPr>
            <w:tcW w:w="7600" w:type="dxa"/>
            <w:shd w:val="clear" w:color="auto" w:fill="auto"/>
          </w:tcPr>
          <w:p w:rsidR="00A6177A" w:rsidRPr="00A6177A" w:rsidRDefault="00A6177A" w:rsidP="00A6177A">
            <w:pPr>
              <w:pStyle w:val="Identificao"/>
            </w:pPr>
            <w:r w:rsidRPr="00A6177A">
              <w:t xml:space="preserve">DAMAZIO ALBERTO LUCIANO </w:t>
            </w:r>
          </w:p>
        </w:tc>
      </w:tr>
      <w:tr w:rsidR="00A6177A" w:rsidRPr="00A6177A" w:rsidTr="00A6177A">
        <w:tc>
          <w:tcPr>
            <w:tcW w:w="2000" w:type="dxa"/>
            <w:shd w:val="clear" w:color="auto" w:fill="auto"/>
          </w:tcPr>
          <w:p w:rsidR="00A6177A" w:rsidRPr="00A6177A" w:rsidRDefault="00A6177A" w:rsidP="00A6177A">
            <w:pPr>
              <w:rPr>
                <w:rFonts w:ascii="Interleaved 2of5" w:hAnsi="Interleaved 2of5"/>
                <w:sz w:val="48"/>
              </w:rPr>
            </w:pPr>
          </w:p>
        </w:tc>
        <w:tc>
          <w:tcPr>
            <w:tcW w:w="300" w:type="dxa"/>
            <w:shd w:val="clear" w:color="auto" w:fill="auto"/>
          </w:tcPr>
          <w:p w:rsidR="00A6177A" w:rsidRPr="00A6177A" w:rsidRDefault="00A6177A" w:rsidP="00A6177A">
            <w:pPr>
              <w:pStyle w:val="Identificao"/>
            </w:pPr>
            <w:r w:rsidRPr="00A6177A">
              <w:t>:</w:t>
            </w:r>
          </w:p>
        </w:tc>
        <w:tc>
          <w:tcPr>
            <w:tcW w:w="7600" w:type="dxa"/>
            <w:shd w:val="clear" w:color="auto" w:fill="auto"/>
          </w:tcPr>
          <w:p w:rsidR="00A6177A" w:rsidRPr="00A6177A" w:rsidRDefault="00A6177A" w:rsidP="00A6177A">
            <w:pPr>
              <w:pStyle w:val="Identificao"/>
            </w:pPr>
            <w:r w:rsidRPr="00A6177A">
              <w:t xml:space="preserve">BA00010262 - JOAO MARCOS SANCHES GREGORIO </w:t>
            </w:r>
          </w:p>
        </w:tc>
      </w:tr>
    </w:tbl>
    <w:p w:rsidR="001446BB" w:rsidRDefault="001446BB" w:rsidP="00B2152F">
      <w:pPr>
        <w:pStyle w:val="Recuodecorpodetexto2"/>
        <w:spacing w:line="360" w:lineRule="auto"/>
        <w:ind w:left="0"/>
        <w:rPr>
          <w:rFonts w:ascii="Arial" w:hAnsi="Arial" w:cs="Arial"/>
          <w:b/>
          <w:sz w:val="20"/>
          <w:szCs w:val="20"/>
        </w:rPr>
      </w:pPr>
    </w:p>
    <w:p w:rsidR="001446BB" w:rsidRDefault="001446BB" w:rsidP="00B2152F">
      <w:pPr>
        <w:pStyle w:val="Recuodecorpodetexto2"/>
        <w:spacing w:line="360" w:lineRule="auto"/>
        <w:ind w:left="0"/>
        <w:jc w:val="center"/>
        <w:rPr>
          <w:rFonts w:ascii="Arial" w:hAnsi="Arial" w:cs="Arial"/>
          <w:b/>
          <w:sz w:val="20"/>
          <w:szCs w:val="20"/>
        </w:rPr>
      </w:pPr>
      <w:r>
        <w:rPr>
          <w:rFonts w:ascii="Arial" w:hAnsi="Arial" w:cs="Arial"/>
          <w:b/>
          <w:sz w:val="20"/>
          <w:szCs w:val="20"/>
        </w:rPr>
        <w:t>RELATÓRIO</w:t>
      </w:r>
    </w:p>
    <w:p w:rsidR="00B2152F" w:rsidRDefault="00B2152F" w:rsidP="00B2152F">
      <w:pPr>
        <w:pStyle w:val="Recuodecorpodetexto2"/>
        <w:spacing w:line="360" w:lineRule="auto"/>
        <w:ind w:left="0"/>
        <w:jc w:val="center"/>
        <w:rPr>
          <w:rFonts w:ascii="Arial" w:hAnsi="Arial" w:cs="Arial"/>
          <w:b/>
          <w:sz w:val="20"/>
          <w:szCs w:val="20"/>
        </w:rPr>
      </w:pPr>
    </w:p>
    <w:p w:rsidR="001446BB" w:rsidRDefault="001446BB" w:rsidP="001446BB">
      <w:pPr>
        <w:pStyle w:val="Recuodecorpodetexto2"/>
        <w:spacing w:after="0" w:line="360" w:lineRule="auto"/>
        <w:ind w:left="0" w:firstLine="1276"/>
        <w:jc w:val="both"/>
        <w:rPr>
          <w:rFonts w:ascii="Arial" w:hAnsi="Arial" w:cs="Arial"/>
          <w:sz w:val="20"/>
          <w:szCs w:val="20"/>
        </w:rPr>
      </w:pPr>
      <w:r w:rsidRPr="0061633D">
        <w:rPr>
          <w:rFonts w:ascii="Arial" w:hAnsi="Arial" w:cs="Arial"/>
          <w:sz w:val="20"/>
          <w:szCs w:val="20"/>
        </w:rPr>
        <w:t>Trata-se de apelação interposta pelo INSS em face de sentença que reconheceu a especialidade d</w:t>
      </w:r>
      <w:r>
        <w:rPr>
          <w:rFonts w:ascii="Arial" w:hAnsi="Arial" w:cs="Arial"/>
          <w:sz w:val="20"/>
          <w:szCs w:val="20"/>
        </w:rPr>
        <w:t>e determinados períodos e, após convertê-los em comuns, concedeu aposentadoria integral por tempo de contribuição à parte autora.</w:t>
      </w:r>
    </w:p>
    <w:p w:rsidR="001446BB" w:rsidRPr="0061633D" w:rsidRDefault="001446BB" w:rsidP="001446BB">
      <w:pPr>
        <w:pStyle w:val="Recuodecorpodetexto2"/>
        <w:spacing w:after="0" w:line="360" w:lineRule="auto"/>
        <w:ind w:left="0" w:firstLine="1276"/>
        <w:jc w:val="both"/>
        <w:rPr>
          <w:rFonts w:ascii="Arial" w:hAnsi="Arial" w:cs="Arial"/>
          <w:sz w:val="20"/>
          <w:szCs w:val="20"/>
        </w:rPr>
      </w:pPr>
      <w:r w:rsidRPr="0061633D">
        <w:rPr>
          <w:rFonts w:ascii="Arial" w:hAnsi="Arial" w:cs="Arial"/>
          <w:sz w:val="20"/>
          <w:szCs w:val="20"/>
        </w:rPr>
        <w:t>Foram apresentadas contrarrazões.</w:t>
      </w:r>
    </w:p>
    <w:p w:rsidR="001446BB" w:rsidRPr="0061633D" w:rsidRDefault="001446BB" w:rsidP="001446BB">
      <w:pPr>
        <w:pStyle w:val="Recuodecorpodetexto2"/>
        <w:spacing w:after="0" w:line="360" w:lineRule="auto"/>
        <w:ind w:left="0" w:firstLine="1276"/>
        <w:jc w:val="both"/>
        <w:rPr>
          <w:rFonts w:ascii="Arial" w:hAnsi="Arial" w:cs="Arial"/>
          <w:sz w:val="20"/>
          <w:szCs w:val="20"/>
        </w:rPr>
      </w:pPr>
      <w:r w:rsidRPr="0061633D">
        <w:rPr>
          <w:rFonts w:ascii="Arial" w:hAnsi="Arial" w:cs="Arial"/>
          <w:sz w:val="20"/>
          <w:szCs w:val="20"/>
        </w:rPr>
        <w:t>É o relatório.</w:t>
      </w:r>
    </w:p>
    <w:p w:rsidR="001446BB" w:rsidRDefault="001446BB" w:rsidP="001446BB">
      <w:pPr>
        <w:pStyle w:val="Recuodecorpodetexto2"/>
        <w:spacing w:line="360" w:lineRule="auto"/>
        <w:ind w:left="0"/>
        <w:jc w:val="center"/>
        <w:rPr>
          <w:rFonts w:ascii="Arial" w:hAnsi="Arial" w:cs="Arial"/>
          <w:b/>
          <w:sz w:val="20"/>
          <w:szCs w:val="20"/>
        </w:rPr>
      </w:pPr>
      <w:r>
        <w:rPr>
          <w:rFonts w:ascii="Arial" w:hAnsi="Arial" w:cs="Arial"/>
          <w:b/>
          <w:sz w:val="20"/>
          <w:szCs w:val="20"/>
        </w:rPr>
        <w:t>VOTO</w:t>
      </w:r>
    </w:p>
    <w:p w:rsidR="00B2152F" w:rsidRDefault="00B2152F" w:rsidP="001446BB">
      <w:pPr>
        <w:pStyle w:val="Recuodecorpodetexto2"/>
        <w:spacing w:line="360" w:lineRule="auto"/>
        <w:ind w:left="0"/>
        <w:jc w:val="center"/>
        <w:rPr>
          <w:rFonts w:ascii="Arial" w:hAnsi="Arial" w:cs="Arial"/>
          <w:b/>
          <w:sz w:val="20"/>
          <w:szCs w:val="20"/>
        </w:rPr>
      </w:pPr>
    </w:p>
    <w:p w:rsidR="001446BB" w:rsidRPr="007F66F7" w:rsidRDefault="001446BB" w:rsidP="001446BB">
      <w:pPr>
        <w:pStyle w:val="Pargrafo"/>
        <w:spacing w:line="360" w:lineRule="auto"/>
        <w:ind w:firstLine="1134"/>
        <w:rPr>
          <w:rFonts w:cs="Arial"/>
          <w:sz w:val="20"/>
          <w:szCs w:val="20"/>
        </w:rPr>
      </w:pPr>
      <w:r>
        <w:rPr>
          <w:rFonts w:cs="Arial"/>
          <w:sz w:val="20"/>
          <w:szCs w:val="20"/>
        </w:rPr>
        <w:t>Primeiramente, c</w:t>
      </w:r>
      <w:r w:rsidRPr="007F66F7">
        <w:rPr>
          <w:rFonts w:cs="Arial"/>
          <w:sz w:val="20"/>
          <w:szCs w:val="20"/>
        </w:rPr>
        <w:t>omo se trata de sentença de procedência</w:t>
      </w:r>
      <w:r w:rsidR="00960A74">
        <w:rPr>
          <w:rFonts w:cs="Arial"/>
          <w:sz w:val="20"/>
          <w:szCs w:val="20"/>
        </w:rPr>
        <w:t xml:space="preserve"> </w:t>
      </w:r>
      <w:r w:rsidRPr="007F66F7">
        <w:rPr>
          <w:rFonts w:cs="Arial"/>
          <w:sz w:val="20"/>
          <w:szCs w:val="20"/>
        </w:rPr>
        <w:t xml:space="preserve">em desfavor de Autarquia, seria de rigor a sua sujeição ao duplo grau obrigatório, na forma do Art. 475 do CPC/73, vigente à época, o que, malgrado não tenha sido observado pelo MM Juízo </w:t>
      </w:r>
      <w:r w:rsidRPr="007F66F7">
        <w:rPr>
          <w:rFonts w:cs="Arial"/>
          <w:i/>
          <w:sz w:val="20"/>
          <w:szCs w:val="20"/>
        </w:rPr>
        <w:t xml:space="preserve">a </w:t>
      </w:r>
      <w:proofErr w:type="spellStart"/>
      <w:r w:rsidRPr="007F66F7">
        <w:rPr>
          <w:rFonts w:cs="Arial"/>
          <w:i/>
          <w:sz w:val="20"/>
          <w:szCs w:val="20"/>
        </w:rPr>
        <w:t>quo</w:t>
      </w:r>
      <w:proofErr w:type="spellEnd"/>
      <w:r w:rsidRPr="007F66F7">
        <w:rPr>
          <w:rFonts w:cs="Arial"/>
          <w:sz w:val="20"/>
          <w:szCs w:val="20"/>
        </w:rPr>
        <w:t>, não afasta a imperiosidade de se empreender o reexame necessário. Assim, tenho por interposta a Remessa Oficial.</w:t>
      </w:r>
    </w:p>
    <w:p w:rsidR="001446BB" w:rsidRDefault="001446BB" w:rsidP="001446BB">
      <w:pPr>
        <w:spacing w:line="360" w:lineRule="auto"/>
        <w:ind w:right="45" w:firstLine="1134"/>
        <w:jc w:val="both"/>
        <w:rPr>
          <w:rFonts w:ascii="Arial" w:hAnsi="Arial" w:cs="Arial"/>
          <w:sz w:val="20"/>
          <w:szCs w:val="20"/>
        </w:rPr>
      </w:pPr>
      <w:r>
        <w:rPr>
          <w:rFonts w:ascii="Arial" w:hAnsi="Arial" w:cs="Arial"/>
          <w:sz w:val="20"/>
          <w:szCs w:val="20"/>
        </w:rPr>
        <w:t>Quanto ao pleito de atribuição de efeito suspensivo à apelação do INSS, tenho que não merece acolhimento, pois o CPC/73, vigente à época da prolação da Sentença, em seu artigo 520, inciso VII estabelece que, em se tratando de sentença na qual restou confirmado o deferimento do pedido de antecipação da tutela, a apelação interposta deve ser recebida, tão somente, no efeito devolutivo. Além disso, não ficou demonstrado risco de lesão grave e de difícil reparação, tampouco fundamentação relevante para justificar a concessão de efeito suspensivo em caráter excepcional.</w:t>
      </w:r>
    </w:p>
    <w:p w:rsidR="001446BB" w:rsidRPr="007F66F7" w:rsidRDefault="001446BB" w:rsidP="001446BB">
      <w:pPr>
        <w:spacing w:line="360" w:lineRule="auto"/>
        <w:ind w:right="45" w:firstLine="1134"/>
        <w:jc w:val="both"/>
        <w:rPr>
          <w:rFonts w:ascii="Arial" w:hAnsi="Arial" w:cs="Arial"/>
          <w:sz w:val="20"/>
          <w:szCs w:val="20"/>
        </w:rPr>
      </w:pPr>
      <w:r w:rsidRPr="007F66F7">
        <w:rPr>
          <w:rFonts w:ascii="Arial" w:hAnsi="Arial" w:cs="Arial"/>
          <w:sz w:val="20"/>
          <w:szCs w:val="20"/>
        </w:rPr>
        <w:t xml:space="preserve">Julgo, ainda, que a antecipação de tutela deve ser mantida, na medida em que o julgamento do mérito, lastreado na prova dos autos, torna inconteste a presença do requisito da verossimilhança das alegações da parte autora, sendo indiscutível o </w:t>
      </w:r>
      <w:proofErr w:type="spellStart"/>
      <w:r w:rsidRPr="007F66F7">
        <w:rPr>
          <w:rFonts w:ascii="Arial" w:hAnsi="Arial" w:cs="Arial"/>
          <w:i/>
          <w:sz w:val="20"/>
          <w:szCs w:val="20"/>
        </w:rPr>
        <w:t>periculum</w:t>
      </w:r>
      <w:proofErr w:type="spellEnd"/>
      <w:r w:rsidRPr="007F66F7">
        <w:rPr>
          <w:rFonts w:ascii="Arial" w:hAnsi="Arial" w:cs="Arial"/>
          <w:i/>
          <w:sz w:val="20"/>
          <w:szCs w:val="20"/>
        </w:rPr>
        <w:t xml:space="preserve"> in mora</w:t>
      </w:r>
      <w:r w:rsidRPr="007F66F7">
        <w:rPr>
          <w:rFonts w:ascii="Arial" w:hAnsi="Arial" w:cs="Arial"/>
          <w:sz w:val="20"/>
          <w:szCs w:val="20"/>
        </w:rPr>
        <w:t>, que decorre da própria natureza alimentar da verba objeto da ação.</w:t>
      </w:r>
    </w:p>
    <w:p w:rsidR="001446BB" w:rsidRDefault="001446BB" w:rsidP="001446BB">
      <w:pPr>
        <w:spacing w:after="120" w:line="360" w:lineRule="auto"/>
        <w:ind w:firstLine="1276"/>
        <w:jc w:val="both"/>
        <w:rPr>
          <w:rFonts w:ascii="Arial" w:hAnsi="Arial" w:cs="Arial"/>
          <w:sz w:val="20"/>
          <w:szCs w:val="20"/>
        </w:rPr>
      </w:pPr>
      <w:r>
        <w:rPr>
          <w:rFonts w:ascii="Arial" w:hAnsi="Arial" w:cs="Arial"/>
          <w:sz w:val="20"/>
          <w:szCs w:val="20"/>
        </w:rPr>
        <w:lastRenderedPageBreak/>
        <w:t>A caracterização de uma atividade como especial, para fins de concessão de aposentadoria especial ou de conversão em tempo de serviço comum – a ser computado na concessão da aposentadoria por tempo de serviço – sofreu sucessivas alterações ao longo do tempo, o que levou a jurisprudência a assentar, em respeito à garantia constitucional do direito adquirido, que “</w:t>
      </w:r>
      <w:r>
        <w:rPr>
          <w:rFonts w:ascii="Arial" w:hAnsi="Arial" w:cs="Arial"/>
          <w:i/>
          <w:sz w:val="20"/>
          <w:szCs w:val="20"/>
        </w:rPr>
        <w:t>o tempo de serviço é disciplinado pela lei vigente à época em que efetivamente prestado, passando a integrar, como direito autônomo, o patrimônio jurídico do trabalhador. A lei nova que venha a estabelecer restrição ao cômputo do tempo de serviço não pode ser aplicada retroativamente, em razão da intangibilidade do direito adquirido. Se a legislação anterior exigia a comprovação da exposição a agentes nocivos, mas não limitava os meios de prova, a lei posterior que passou a exigir laudo técnico, tem inegável caráter restritivo ao exercício do direito, não podendo ser aplicada a situações pretéritas</w:t>
      </w:r>
      <w:r>
        <w:rPr>
          <w:rFonts w:ascii="Arial" w:hAnsi="Arial" w:cs="Arial"/>
          <w:sz w:val="20"/>
          <w:szCs w:val="20"/>
        </w:rPr>
        <w:t xml:space="preserve">” (STJ, </w:t>
      </w:r>
      <w:proofErr w:type="spellStart"/>
      <w:proofErr w:type="gramStart"/>
      <w:r>
        <w:rPr>
          <w:rFonts w:ascii="Arial" w:hAnsi="Arial" w:cs="Arial"/>
          <w:sz w:val="20"/>
          <w:szCs w:val="20"/>
        </w:rPr>
        <w:t>REsp</w:t>
      </w:r>
      <w:proofErr w:type="spellEnd"/>
      <w:proofErr w:type="gramEnd"/>
      <w:r>
        <w:rPr>
          <w:rFonts w:ascii="Arial" w:hAnsi="Arial" w:cs="Arial"/>
          <w:sz w:val="20"/>
          <w:szCs w:val="20"/>
        </w:rPr>
        <w:t>. 382.318/RS, DJ de 01/07/2002).</w:t>
      </w:r>
    </w:p>
    <w:p w:rsidR="001446BB" w:rsidRDefault="001446BB" w:rsidP="001446BB">
      <w:pPr>
        <w:spacing w:after="120" w:line="360" w:lineRule="auto"/>
        <w:ind w:firstLine="1276"/>
        <w:jc w:val="both"/>
        <w:rPr>
          <w:rFonts w:ascii="Arial" w:hAnsi="Arial" w:cs="Arial"/>
          <w:sz w:val="20"/>
          <w:szCs w:val="20"/>
        </w:rPr>
      </w:pPr>
      <w:r>
        <w:rPr>
          <w:rFonts w:ascii="Arial" w:hAnsi="Arial" w:cs="Arial"/>
          <w:sz w:val="20"/>
          <w:szCs w:val="20"/>
        </w:rPr>
        <w:t xml:space="preserve">Isso significa, em suma, que, para a comprovação da especialidade do labor: </w:t>
      </w:r>
    </w:p>
    <w:p w:rsidR="001446BB" w:rsidRDefault="001446BB" w:rsidP="001446BB">
      <w:pPr>
        <w:spacing w:after="120" w:line="360" w:lineRule="auto"/>
        <w:ind w:firstLine="1276"/>
        <w:jc w:val="both"/>
        <w:rPr>
          <w:rFonts w:ascii="Arial" w:hAnsi="Arial" w:cs="Arial"/>
          <w:sz w:val="20"/>
          <w:szCs w:val="20"/>
        </w:rPr>
      </w:pPr>
      <w:proofErr w:type="gramStart"/>
      <w:r>
        <w:rPr>
          <w:rFonts w:ascii="Arial" w:hAnsi="Arial" w:cs="Arial"/>
          <w:sz w:val="20"/>
          <w:szCs w:val="20"/>
        </w:rPr>
        <w:t>1</w:t>
      </w:r>
      <w:proofErr w:type="gramEnd"/>
      <w:r>
        <w:rPr>
          <w:rFonts w:ascii="Arial" w:hAnsi="Arial" w:cs="Arial"/>
          <w:sz w:val="20"/>
          <w:szCs w:val="20"/>
        </w:rPr>
        <w:t xml:space="preserve">) até o advento da Lei n. 9.032/95, consoante legislação vigente à época da prestação do serviço (Lei n. 3.807/60; </w:t>
      </w:r>
      <w:proofErr w:type="spellStart"/>
      <w:r>
        <w:rPr>
          <w:rFonts w:ascii="Arial" w:hAnsi="Arial" w:cs="Arial"/>
          <w:sz w:val="20"/>
          <w:szCs w:val="20"/>
        </w:rPr>
        <w:t>Decs</w:t>
      </w:r>
      <w:proofErr w:type="spellEnd"/>
      <w:r>
        <w:rPr>
          <w:rFonts w:ascii="Arial" w:hAnsi="Arial" w:cs="Arial"/>
          <w:sz w:val="20"/>
          <w:szCs w:val="20"/>
        </w:rPr>
        <w:t>. n. 53.831/64 e 83.080/79; Lei n. 8.213/91, art. 57, em sua redação original), era possível o enquadramento por atividade profissional elencada nos quadros anexos aos Dec. 53.831 e 83.080, bastando a comprovação do exercício dessa atividade – pois havia uma presunção legal de submissão a agentes nocivos –, ou por agente nocivo também indicado nos mesmos quadros anexos, cuja comprovação demandava preenchimento, pelo empregador, dos formulários SB-40 ou DSS-8030, indicando a qual o agente nocivo estava submetido o segurado. Mas, em ambas as hipóteses, a comprovação da nocividade prescindia de prova pericial, salvo quanto ao agente ruído – para o qual a caracterização como nocivo dependia da averiguação da exposição a um dado limite de decibéis, o que só poderia se dar por avaliação pericial.</w:t>
      </w:r>
    </w:p>
    <w:p w:rsidR="001446BB" w:rsidRDefault="001446BB" w:rsidP="001446BB">
      <w:pPr>
        <w:spacing w:after="120" w:line="360" w:lineRule="auto"/>
        <w:ind w:firstLine="1276"/>
        <w:jc w:val="both"/>
        <w:rPr>
          <w:rFonts w:ascii="Arial" w:hAnsi="Arial" w:cs="Arial"/>
          <w:sz w:val="20"/>
          <w:szCs w:val="20"/>
        </w:rPr>
      </w:pPr>
      <w:proofErr w:type="gramStart"/>
      <w:r>
        <w:rPr>
          <w:rFonts w:ascii="Arial" w:hAnsi="Arial" w:cs="Arial"/>
          <w:sz w:val="20"/>
          <w:szCs w:val="20"/>
        </w:rPr>
        <w:t>2</w:t>
      </w:r>
      <w:proofErr w:type="gramEnd"/>
      <w:r>
        <w:rPr>
          <w:rFonts w:ascii="Arial" w:hAnsi="Arial" w:cs="Arial"/>
          <w:sz w:val="20"/>
          <w:szCs w:val="20"/>
        </w:rPr>
        <w:t xml:space="preserve">) após a entrada em vigor da Lei n. 9.032/95, que alterou a redação do art. 57 da Lei 8.213, restou afastada a possibilidade de enquadramento por simples exercício de atividade profissional, somente sendo possível, a partir de então, o reconhecimento de um dado tempo de serviço como especial, por submissão aos agentes nocivos, o que continuou a ser comprovado pelos formulários SB-40 ou DSS-8030, sendo desnecessária a prova pericial; </w:t>
      </w:r>
    </w:p>
    <w:p w:rsidR="001446BB" w:rsidRDefault="001446BB" w:rsidP="001446BB">
      <w:pPr>
        <w:spacing w:after="120" w:line="360" w:lineRule="auto"/>
        <w:ind w:firstLine="1276"/>
        <w:jc w:val="both"/>
        <w:rPr>
          <w:rFonts w:ascii="Arial" w:hAnsi="Arial" w:cs="Arial"/>
          <w:sz w:val="20"/>
          <w:szCs w:val="20"/>
        </w:rPr>
      </w:pPr>
      <w:proofErr w:type="gramStart"/>
      <w:r>
        <w:rPr>
          <w:rFonts w:ascii="Arial" w:hAnsi="Arial" w:cs="Arial"/>
          <w:sz w:val="20"/>
          <w:szCs w:val="20"/>
        </w:rPr>
        <w:t>3</w:t>
      </w:r>
      <w:proofErr w:type="gramEnd"/>
      <w:r>
        <w:rPr>
          <w:rFonts w:ascii="Arial" w:hAnsi="Arial" w:cs="Arial"/>
          <w:sz w:val="20"/>
          <w:szCs w:val="20"/>
        </w:rPr>
        <w:t xml:space="preserve">) A partir de 05/03/1997, com a entrada em vigor do Dec. n. 2.172/97, que regulamentou o § 1º, do art. 58, da Lei de Benefícios – introduzido pela Med. Prov. n. 1.523/96 –, passou a se exigir, para a comprovação da especialidade do trabalho, o preenchimento dos aludidos formulários com base em prova pericial, consubstanciada em laudo técnico de condições ambientais do trabalho (LTCAT), expedido por médico do trabalho ou engenheiro de segurança do trabalho, atestando a submissão habitual e permanente a agente nocivo, dentre os arrolados pelo mesmo Dec. 2.172 e, posteriormente, pelo Dec. 3.048/99 (STJ, </w:t>
      </w:r>
      <w:proofErr w:type="spellStart"/>
      <w:r>
        <w:rPr>
          <w:rFonts w:ascii="Arial" w:hAnsi="Arial" w:cs="Arial"/>
          <w:sz w:val="20"/>
          <w:szCs w:val="20"/>
        </w:rPr>
        <w:t>AgREsp</w:t>
      </w:r>
      <w:proofErr w:type="spellEnd"/>
      <w:r>
        <w:rPr>
          <w:rFonts w:ascii="Arial" w:hAnsi="Arial" w:cs="Arial"/>
          <w:sz w:val="20"/>
          <w:szCs w:val="20"/>
        </w:rPr>
        <w:t xml:space="preserve"> 493458/RS, DJ de 23.06.2003, p. 425).</w:t>
      </w:r>
    </w:p>
    <w:p w:rsidR="001446BB" w:rsidRDefault="001446BB" w:rsidP="001446BB">
      <w:pPr>
        <w:spacing w:before="120" w:after="120" w:line="360" w:lineRule="auto"/>
        <w:ind w:firstLine="1276"/>
        <w:jc w:val="both"/>
        <w:rPr>
          <w:rFonts w:ascii="Arial" w:hAnsi="Arial" w:cs="Arial"/>
          <w:sz w:val="20"/>
          <w:szCs w:val="20"/>
        </w:rPr>
      </w:pPr>
      <w:proofErr w:type="gramStart"/>
      <w:r>
        <w:rPr>
          <w:rFonts w:ascii="Arial" w:hAnsi="Arial" w:cs="Arial"/>
          <w:sz w:val="20"/>
          <w:szCs w:val="20"/>
        </w:rPr>
        <w:t>4</w:t>
      </w:r>
      <w:proofErr w:type="gramEnd"/>
      <w:r>
        <w:rPr>
          <w:rFonts w:ascii="Arial" w:hAnsi="Arial" w:cs="Arial"/>
          <w:sz w:val="20"/>
          <w:szCs w:val="20"/>
        </w:rPr>
        <w:t xml:space="preserve">) consoante orientação jurisprudencial predominante, sintetizada na Súmula 29 da AGU, a exposição a ruído enseja o reconhecimento da atividade como especial nos seguintes limites: i) </w:t>
      </w:r>
      <w:r>
        <w:rPr>
          <w:rFonts w:ascii="Arial" w:hAnsi="Arial" w:cs="Arial"/>
          <w:sz w:val="20"/>
          <w:szCs w:val="20"/>
          <w:u w:val="single"/>
        </w:rPr>
        <w:t>acima</w:t>
      </w:r>
      <w:r>
        <w:rPr>
          <w:rFonts w:ascii="Arial" w:hAnsi="Arial" w:cs="Arial"/>
          <w:sz w:val="20"/>
          <w:szCs w:val="20"/>
        </w:rPr>
        <w:t xml:space="preserve"> de 80 dB, para períodos anteriores a 06/03/1997; ii) </w:t>
      </w:r>
      <w:r>
        <w:rPr>
          <w:rFonts w:ascii="Arial" w:hAnsi="Arial" w:cs="Arial"/>
          <w:sz w:val="20"/>
          <w:szCs w:val="20"/>
          <w:u w:val="single"/>
        </w:rPr>
        <w:t>acima</w:t>
      </w:r>
      <w:r>
        <w:rPr>
          <w:rFonts w:ascii="Arial" w:hAnsi="Arial" w:cs="Arial"/>
          <w:sz w:val="20"/>
          <w:szCs w:val="20"/>
        </w:rPr>
        <w:t xml:space="preserve"> de 90 dB, de 06/03/1997 a 18/11/2003; e iii) </w:t>
      </w:r>
      <w:r>
        <w:rPr>
          <w:rFonts w:ascii="Arial" w:hAnsi="Arial" w:cs="Arial"/>
          <w:sz w:val="20"/>
          <w:szCs w:val="20"/>
          <w:u w:val="single"/>
        </w:rPr>
        <w:t>acima</w:t>
      </w:r>
      <w:r>
        <w:rPr>
          <w:rFonts w:ascii="Arial" w:hAnsi="Arial" w:cs="Arial"/>
          <w:sz w:val="20"/>
          <w:szCs w:val="20"/>
        </w:rPr>
        <w:t xml:space="preserve"> de 85 dB, desde 19/11/2003.</w:t>
      </w:r>
    </w:p>
    <w:p w:rsidR="001446BB" w:rsidRDefault="001446BB" w:rsidP="001446BB">
      <w:pPr>
        <w:spacing w:before="120" w:after="120" w:line="360" w:lineRule="auto"/>
        <w:ind w:firstLine="1276"/>
        <w:jc w:val="both"/>
        <w:rPr>
          <w:rFonts w:ascii="Arial" w:hAnsi="Arial" w:cs="Arial"/>
          <w:sz w:val="20"/>
          <w:szCs w:val="20"/>
        </w:rPr>
      </w:pPr>
      <w:proofErr w:type="gramStart"/>
      <w:r>
        <w:rPr>
          <w:rFonts w:ascii="Arial" w:hAnsi="Arial" w:cs="Arial"/>
          <w:sz w:val="20"/>
          <w:szCs w:val="20"/>
        </w:rPr>
        <w:t>Outrossim</w:t>
      </w:r>
      <w:proofErr w:type="gramEnd"/>
      <w:r>
        <w:rPr>
          <w:rFonts w:ascii="Arial" w:hAnsi="Arial" w:cs="Arial"/>
          <w:sz w:val="20"/>
          <w:szCs w:val="20"/>
        </w:rPr>
        <w:t xml:space="preserve">, </w:t>
      </w:r>
      <w:r>
        <w:rPr>
          <w:rFonts w:ascii="Arial" w:eastAsia="MS Mincho" w:hAnsi="Arial" w:cs="Arial"/>
          <w:sz w:val="20"/>
          <w:szCs w:val="20"/>
        </w:rPr>
        <w:t>no julgamento do ARE 664.335/SC, com repercussão geral reconhecida, o Supremo Tribunal Federal fixou as seguintes teses a respeito da aposentadoria especial e da eficácia do equipamento de proteção individual (EPI) disponibilizado ao trabalhador:</w:t>
      </w:r>
    </w:p>
    <w:p w:rsidR="001446BB" w:rsidRDefault="001446BB" w:rsidP="001446BB">
      <w:pPr>
        <w:pStyle w:val="ementa"/>
        <w:spacing w:before="0" w:after="0" w:line="360" w:lineRule="auto"/>
        <w:ind w:firstLine="1276"/>
        <w:rPr>
          <w:rFonts w:eastAsia="MS Mincho" w:cs="Arial"/>
          <w:sz w:val="20"/>
          <w:szCs w:val="20"/>
        </w:rPr>
      </w:pPr>
    </w:p>
    <w:p w:rsidR="001446BB" w:rsidRPr="00361E0C" w:rsidRDefault="001446BB" w:rsidP="001446BB">
      <w:pPr>
        <w:ind w:left="1701"/>
        <w:jc w:val="both"/>
        <w:rPr>
          <w:rFonts w:ascii="Arial" w:hAnsi="Arial" w:cs="Arial"/>
          <w:sz w:val="20"/>
          <w:szCs w:val="20"/>
        </w:rPr>
      </w:pPr>
      <w:bookmarkStart w:id="0" w:name="_GoBack"/>
      <w:bookmarkEnd w:id="0"/>
      <w:r w:rsidRPr="00361E0C">
        <w:rPr>
          <w:rFonts w:ascii="Arial" w:hAnsi="Arial" w:cs="Arial"/>
          <w:sz w:val="20"/>
          <w:szCs w:val="20"/>
        </w:rPr>
        <w:t xml:space="preserve">(...) </w:t>
      </w:r>
      <w:r w:rsidRPr="00361E0C">
        <w:rPr>
          <w:rFonts w:ascii="Arial" w:hAnsi="Arial" w:cs="Arial"/>
          <w:i/>
          <w:sz w:val="20"/>
          <w:szCs w:val="20"/>
        </w:rPr>
        <w:t xml:space="preserve">10. </w:t>
      </w:r>
      <w:r w:rsidRPr="00361E0C">
        <w:rPr>
          <w:rFonts w:ascii="Arial" w:hAnsi="Arial" w:cs="Arial"/>
          <w:sz w:val="20"/>
          <w:szCs w:val="20"/>
        </w:rPr>
        <w:t>(...)</w:t>
      </w:r>
      <w:r w:rsidRPr="00361E0C">
        <w:rPr>
          <w:rFonts w:ascii="Arial" w:hAnsi="Arial" w:cs="Arial"/>
          <w:i/>
          <w:sz w:val="20"/>
          <w:szCs w:val="20"/>
        </w:rPr>
        <w:t xml:space="preserve"> a primeira tese objetiva que se firma é: o direito à aposentadoria especial pressupõe a efetiva exposição do trabalhador a agente nocivo à sua saúde, de modo que, </w:t>
      </w:r>
      <w:r w:rsidRPr="00361E0C">
        <w:rPr>
          <w:rFonts w:ascii="Arial" w:hAnsi="Arial" w:cs="Arial"/>
          <w:b/>
          <w:i/>
          <w:sz w:val="20"/>
          <w:szCs w:val="20"/>
        </w:rPr>
        <w:t>se o EPI for realmente capaz de neutralizar a nocividade não haverá respaldo constitucional à aposentadoria especial.</w:t>
      </w:r>
      <w:r w:rsidRPr="00361E0C">
        <w:rPr>
          <w:rFonts w:ascii="Arial" w:hAnsi="Arial" w:cs="Arial"/>
          <w:i/>
          <w:sz w:val="20"/>
          <w:szCs w:val="20"/>
        </w:rPr>
        <w:t xml:space="preserve"> 11. A Administração poderá, no exercício da fiscalização, aferir as informações prestadas pela empresa, sem prejuízo do </w:t>
      </w:r>
      <w:proofErr w:type="spellStart"/>
      <w:r w:rsidRPr="00361E0C">
        <w:rPr>
          <w:rFonts w:ascii="Arial" w:hAnsi="Arial" w:cs="Arial"/>
          <w:i/>
          <w:sz w:val="20"/>
          <w:szCs w:val="20"/>
        </w:rPr>
        <w:t>inafastável</w:t>
      </w:r>
      <w:proofErr w:type="spellEnd"/>
      <w:r w:rsidRPr="00361E0C">
        <w:rPr>
          <w:rFonts w:ascii="Arial" w:hAnsi="Arial" w:cs="Arial"/>
          <w:i/>
          <w:sz w:val="20"/>
          <w:szCs w:val="20"/>
        </w:rPr>
        <w:t xml:space="preserve"> judicial </w:t>
      </w:r>
      <w:proofErr w:type="spellStart"/>
      <w:r w:rsidRPr="00361E0C">
        <w:rPr>
          <w:rFonts w:ascii="Arial" w:hAnsi="Arial" w:cs="Arial"/>
          <w:i/>
          <w:sz w:val="20"/>
          <w:szCs w:val="20"/>
        </w:rPr>
        <w:t>review</w:t>
      </w:r>
      <w:proofErr w:type="spellEnd"/>
      <w:r w:rsidRPr="00361E0C">
        <w:rPr>
          <w:rFonts w:ascii="Arial" w:hAnsi="Arial" w:cs="Arial"/>
          <w:i/>
          <w:sz w:val="20"/>
          <w:szCs w:val="20"/>
        </w:rPr>
        <w:t xml:space="preserve">. </w:t>
      </w:r>
      <w:r w:rsidRPr="00361E0C">
        <w:rPr>
          <w:rFonts w:ascii="Arial" w:hAnsi="Arial" w:cs="Arial"/>
          <w:b/>
          <w:i/>
          <w:sz w:val="20"/>
          <w:szCs w:val="20"/>
        </w:rPr>
        <w:t>Em caso de divergência ou dúvida sobre a real eficácia do Equipamento de Proteção Individual, a premissa a nortear a Administração e o Judiciário é pelo reconhecimento do direito ao benefício da aposentadoria especial. Isto porque o uso de EPI, no caso concreto, pode não se afigurar suficiente para descaracterizar completamente a relação nociva a que o empregado se submete.</w:t>
      </w:r>
      <w:r w:rsidRPr="00361E0C">
        <w:rPr>
          <w:rFonts w:ascii="Arial" w:hAnsi="Arial" w:cs="Arial"/>
          <w:sz w:val="20"/>
          <w:szCs w:val="20"/>
        </w:rPr>
        <w:t xml:space="preserve"> (...) </w:t>
      </w:r>
      <w:r w:rsidRPr="00361E0C">
        <w:rPr>
          <w:rFonts w:ascii="Arial" w:hAnsi="Arial" w:cs="Arial"/>
          <w:i/>
          <w:sz w:val="20"/>
          <w:szCs w:val="20"/>
        </w:rPr>
        <w:t xml:space="preserve">14. Desse modo, a segunda tese fixada neste Recurso Extraordinário é a seguinte: </w:t>
      </w:r>
      <w:r w:rsidRPr="00361E0C">
        <w:rPr>
          <w:rFonts w:ascii="Arial" w:hAnsi="Arial" w:cs="Arial"/>
          <w:b/>
          <w:i/>
          <w:sz w:val="20"/>
          <w:szCs w:val="20"/>
        </w:rPr>
        <w:t>na hipótese de exposição do trabalhador a ruído acima dos limites legais de tolerância, a declaração do empregador, no âmbito do Perfil Profissiográfico Previdenciário (PPP), no sentido da eficácia do Equipamento de Proteção Individual - EPI, não descaracteriza o tempo de serviço especial para aposentadoria.</w:t>
      </w:r>
      <w:r w:rsidRPr="00361E0C">
        <w:rPr>
          <w:rFonts w:ascii="Arial" w:hAnsi="Arial" w:cs="Arial"/>
          <w:i/>
          <w:sz w:val="20"/>
          <w:szCs w:val="20"/>
        </w:rPr>
        <w:t xml:space="preserve"> 15. </w:t>
      </w:r>
      <w:proofErr w:type="gramStart"/>
      <w:r w:rsidRPr="00361E0C">
        <w:rPr>
          <w:rFonts w:ascii="Arial" w:hAnsi="Arial" w:cs="Arial"/>
          <w:i/>
          <w:sz w:val="20"/>
          <w:szCs w:val="20"/>
        </w:rPr>
        <w:t>Agravo conhecido para negar provimento ao Recurso Extraordinário</w:t>
      </w:r>
      <w:r w:rsidRPr="00361E0C">
        <w:rPr>
          <w:rFonts w:ascii="Arial" w:hAnsi="Arial" w:cs="Arial"/>
          <w:sz w:val="20"/>
          <w:szCs w:val="20"/>
        </w:rPr>
        <w:t>”</w:t>
      </w:r>
      <w:proofErr w:type="gramEnd"/>
      <w:r w:rsidRPr="00361E0C">
        <w:rPr>
          <w:rFonts w:ascii="Arial" w:hAnsi="Arial" w:cs="Arial"/>
          <w:sz w:val="20"/>
          <w:szCs w:val="20"/>
        </w:rPr>
        <w:t xml:space="preserve"> (ARE 664335, Relator(a):  Min. LUIZ FUX, Tribunal Pleno, julgado em 04/12/2014, ACÓRDÃO ELETRÔNICO REPERCUSSÃO GERAL - MÉRITO </w:t>
      </w:r>
      <w:proofErr w:type="spellStart"/>
      <w:r w:rsidRPr="00361E0C">
        <w:rPr>
          <w:rFonts w:ascii="Arial" w:hAnsi="Arial" w:cs="Arial"/>
          <w:sz w:val="20"/>
          <w:szCs w:val="20"/>
        </w:rPr>
        <w:t>DJe</w:t>
      </w:r>
      <w:proofErr w:type="spellEnd"/>
      <w:r w:rsidRPr="00361E0C">
        <w:rPr>
          <w:rFonts w:ascii="Arial" w:hAnsi="Arial" w:cs="Arial"/>
          <w:sz w:val="20"/>
          <w:szCs w:val="20"/>
        </w:rPr>
        <w:t>-029 DIVULG 11-02-2015 PUBLIC 12-02-2015). Destaquei.</w:t>
      </w:r>
    </w:p>
    <w:p w:rsidR="001446BB" w:rsidRPr="00361E0C" w:rsidRDefault="001446BB" w:rsidP="001446BB">
      <w:pPr>
        <w:ind w:left="1701"/>
        <w:jc w:val="both"/>
        <w:rPr>
          <w:rFonts w:ascii="Arial" w:hAnsi="Arial" w:cs="Arial"/>
          <w:sz w:val="20"/>
          <w:szCs w:val="20"/>
        </w:rPr>
      </w:pPr>
    </w:p>
    <w:p w:rsidR="001446BB" w:rsidRPr="00361E0C" w:rsidRDefault="001446BB" w:rsidP="001446BB">
      <w:pPr>
        <w:spacing w:before="120" w:after="120" w:line="360" w:lineRule="auto"/>
        <w:ind w:firstLine="1440"/>
        <w:jc w:val="both"/>
        <w:rPr>
          <w:rFonts w:ascii="Arial" w:hAnsi="Arial" w:cs="Arial"/>
          <w:sz w:val="20"/>
          <w:szCs w:val="20"/>
        </w:rPr>
      </w:pPr>
      <w:r w:rsidRPr="00361E0C">
        <w:rPr>
          <w:rFonts w:ascii="Arial" w:hAnsi="Arial" w:cs="Arial"/>
          <w:sz w:val="20"/>
          <w:szCs w:val="20"/>
        </w:rPr>
        <w:t xml:space="preserve">Depreende-se, ainda, do voto-condutor do citado precedente que, para que a utilização de EPI seja hábil a afastar o reconhecimento de determinado período como especial, deve haver prova </w:t>
      </w:r>
      <w:r w:rsidRPr="00361E0C">
        <w:rPr>
          <w:rFonts w:ascii="Arial" w:hAnsi="Arial" w:cs="Arial"/>
          <w:b/>
          <w:sz w:val="20"/>
          <w:szCs w:val="20"/>
        </w:rPr>
        <w:t>cabal</w:t>
      </w:r>
      <w:r w:rsidRPr="00361E0C">
        <w:rPr>
          <w:rFonts w:ascii="Arial" w:hAnsi="Arial" w:cs="Arial"/>
          <w:sz w:val="20"/>
          <w:szCs w:val="20"/>
        </w:rPr>
        <w:t xml:space="preserve"> e </w:t>
      </w:r>
      <w:r w:rsidRPr="00361E0C">
        <w:rPr>
          <w:rFonts w:ascii="Arial" w:hAnsi="Arial" w:cs="Arial"/>
          <w:b/>
          <w:sz w:val="20"/>
          <w:szCs w:val="20"/>
        </w:rPr>
        <w:t>irrefutável</w:t>
      </w:r>
      <w:r w:rsidRPr="00361E0C">
        <w:rPr>
          <w:rFonts w:ascii="Arial" w:hAnsi="Arial" w:cs="Arial"/>
          <w:sz w:val="20"/>
          <w:szCs w:val="20"/>
        </w:rPr>
        <w:t xml:space="preserve"> de que ele foi </w:t>
      </w:r>
      <w:r w:rsidRPr="00361E0C">
        <w:rPr>
          <w:rFonts w:ascii="Arial" w:hAnsi="Arial" w:cs="Arial"/>
          <w:b/>
          <w:sz w:val="20"/>
          <w:szCs w:val="20"/>
        </w:rPr>
        <w:t>efetivamente</w:t>
      </w:r>
      <w:r w:rsidRPr="00361E0C">
        <w:rPr>
          <w:rFonts w:ascii="Arial" w:hAnsi="Arial" w:cs="Arial"/>
          <w:sz w:val="20"/>
          <w:szCs w:val="20"/>
        </w:rPr>
        <w:t xml:space="preserve"> eficaz, neutralizando ou eliminando a presença do agente nocivo.</w:t>
      </w:r>
    </w:p>
    <w:p w:rsidR="001446BB" w:rsidRPr="00361E0C" w:rsidRDefault="001446BB" w:rsidP="001446BB">
      <w:pPr>
        <w:spacing w:before="120" w:after="120" w:line="360" w:lineRule="auto"/>
        <w:ind w:firstLine="1440"/>
        <w:jc w:val="both"/>
        <w:rPr>
          <w:rFonts w:ascii="Arial" w:hAnsi="Arial" w:cs="Arial"/>
          <w:sz w:val="20"/>
          <w:szCs w:val="20"/>
        </w:rPr>
      </w:pPr>
      <w:r w:rsidRPr="00361E0C">
        <w:rPr>
          <w:rFonts w:ascii="Arial" w:hAnsi="Arial" w:cs="Arial"/>
          <w:sz w:val="20"/>
          <w:szCs w:val="20"/>
        </w:rPr>
        <w:t xml:space="preserve">Portanto, a dúvida a respeito da real eficácia do EPI milita em favor do segurado, e não basta para elidi-la a singela assinalação, em campo próprio do PPP, contendo resposta afirmativa ao quesito pertinente à utilização de EPI eficaz, sem nenhuma outra informação quanto ao grau de eliminação ou de neutralização do agente nocivo. </w:t>
      </w:r>
    </w:p>
    <w:p w:rsidR="001446BB" w:rsidRPr="00361E0C" w:rsidRDefault="001446BB" w:rsidP="001446BB">
      <w:pPr>
        <w:spacing w:before="120" w:after="120" w:line="360" w:lineRule="auto"/>
        <w:ind w:firstLine="1440"/>
        <w:jc w:val="both"/>
        <w:rPr>
          <w:rFonts w:ascii="Arial" w:hAnsi="Arial" w:cs="Arial"/>
          <w:sz w:val="20"/>
          <w:szCs w:val="20"/>
        </w:rPr>
      </w:pPr>
      <w:r w:rsidRPr="00361E0C">
        <w:rPr>
          <w:rFonts w:ascii="Arial" w:hAnsi="Arial" w:cs="Arial"/>
          <w:sz w:val="20"/>
          <w:szCs w:val="20"/>
        </w:rPr>
        <w:t>Neste mesmo sentido:</w:t>
      </w:r>
    </w:p>
    <w:p w:rsidR="001446BB" w:rsidRDefault="001446BB" w:rsidP="001446BB">
      <w:pPr>
        <w:ind w:left="2268"/>
        <w:jc w:val="both"/>
        <w:rPr>
          <w:rFonts w:ascii="Arial" w:hAnsi="Arial" w:cs="Arial"/>
          <w:sz w:val="20"/>
          <w:szCs w:val="20"/>
        </w:rPr>
      </w:pPr>
      <w:r w:rsidRPr="00361E0C">
        <w:rPr>
          <w:rFonts w:ascii="Arial" w:hAnsi="Arial" w:cs="Arial"/>
          <w:sz w:val="20"/>
          <w:szCs w:val="20"/>
        </w:rPr>
        <w:t>"</w:t>
      </w:r>
      <w:r w:rsidRPr="00361E0C">
        <w:rPr>
          <w:rFonts w:ascii="Arial" w:hAnsi="Arial" w:cs="Arial"/>
          <w:i/>
          <w:sz w:val="20"/>
          <w:szCs w:val="20"/>
        </w:rPr>
        <w:t xml:space="preserve">PREVIDENCIÁRIO. INCIDENTE DE JUÍZO DE RETRATAÇÃO. ART. 543-B, §3º, DO CPC. APOSENTADORIA. ATIVIDADE ESPECIAL. EPI. ELIMINAÇÃO TOTAL DO AGENTE NOCIVO NÃO CONSTATADO. DECISÃO RECORRIDA MANTIDA. I. Incidente de juízo de retratação, nos termos do art. 543-B, §3º, do CPC. II. Ao compulsar dos autos, verifica-se que não houve divergência, no presente caso, do entendimento fixado pelo C. Supremo Tribunal Federal no julgamento do Recurso Extraordinário n.º 664.335/SC, que fixou duas teses, quais sejam: 1) "o direito à aposentadoria especial pressupõe a efetiva exposição do trabalhador a agente nocivo à sua saúde, de modo que, se o EPI for realmente capaz de neutralizar a nocividade não haverá respaldo constitucional à aposentadoria especial"; e, 2) "na hipótese de exposição do trabalhador a ruído acima dos limites legais de tolerância, a declaração do empregador, no âmbito do Perfil Profissiográfico Previdenciário (PPP), no sentido da eficácia do Equipamento de Proteção Individual - EPI, não descaracteriza o tempo de serviço especial para aposentadoria". III. Ressalte-se que, </w:t>
      </w:r>
      <w:r w:rsidRPr="00361E0C">
        <w:rPr>
          <w:rFonts w:ascii="Arial" w:hAnsi="Arial" w:cs="Arial"/>
          <w:b/>
          <w:i/>
          <w:sz w:val="20"/>
          <w:szCs w:val="20"/>
        </w:rPr>
        <w:t xml:space="preserve">na hipótese de agente insalubre diverso do ruído, o próprio STF ressalvou que </w:t>
      </w:r>
      <w:proofErr w:type="gramStart"/>
      <w:r w:rsidRPr="00361E0C">
        <w:rPr>
          <w:rFonts w:ascii="Arial" w:hAnsi="Arial" w:cs="Arial"/>
          <w:b/>
          <w:i/>
          <w:sz w:val="20"/>
          <w:szCs w:val="20"/>
        </w:rPr>
        <w:t>"Em caso de divergência ou dúvida sobre a real eficácia do Equipamento de Proteção Individual, a premissa a nortear a Administração e o Judiciário é pelo reconhecimento do direito ao benefício da aposentadoria especial.</w:t>
      </w:r>
      <w:proofErr w:type="gramEnd"/>
      <w:r w:rsidRPr="00361E0C">
        <w:rPr>
          <w:rFonts w:ascii="Arial" w:hAnsi="Arial" w:cs="Arial"/>
          <w:b/>
          <w:i/>
          <w:sz w:val="20"/>
          <w:szCs w:val="20"/>
        </w:rPr>
        <w:t xml:space="preserve"> </w:t>
      </w:r>
      <w:proofErr w:type="gramStart"/>
      <w:r w:rsidRPr="00361E0C">
        <w:rPr>
          <w:rFonts w:ascii="Arial" w:hAnsi="Arial" w:cs="Arial"/>
          <w:b/>
          <w:i/>
          <w:sz w:val="20"/>
          <w:szCs w:val="20"/>
        </w:rPr>
        <w:t>Isto porque o uso de EPI, no caso concreto, pode não se afigurar suficiente para descaracterizar completamente a relação nociva a que o empregado se submete"</w:t>
      </w:r>
      <w:proofErr w:type="gramEnd"/>
      <w:r w:rsidRPr="00361E0C">
        <w:rPr>
          <w:rFonts w:ascii="Arial" w:hAnsi="Arial" w:cs="Arial"/>
          <w:i/>
          <w:sz w:val="20"/>
          <w:szCs w:val="20"/>
        </w:rPr>
        <w:t xml:space="preserve">. IV. Com efeito, embora o PPP - Perfil Profissiográfico Previdenciário das fls. 92/97 </w:t>
      </w:r>
      <w:r w:rsidRPr="00361E0C">
        <w:rPr>
          <w:rFonts w:ascii="Arial" w:hAnsi="Arial" w:cs="Arial"/>
          <w:b/>
          <w:i/>
          <w:sz w:val="20"/>
          <w:szCs w:val="20"/>
        </w:rPr>
        <w:t>aponte a existência de EPI eficaz, não consta a eliminação total do agente nocivo, nem comprova a utilização do equipamento de proteção durante todo o tempo em que é executado o serviço, não descaracterizando, portanto, a condição especial da atividade exercida</w:t>
      </w:r>
      <w:r w:rsidRPr="00361E0C">
        <w:rPr>
          <w:rFonts w:ascii="Arial" w:hAnsi="Arial" w:cs="Arial"/>
          <w:i/>
          <w:sz w:val="20"/>
          <w:szCs w:val="20"/>
        </w:rPr>
        <w:t>. V. Decisão recorrida mantida</w:t>
      </w:r>
      <w:r w:rsidRPr="00361E0C">
        <w:rPr>
          <w:rFonts w:ascii="Arial" w:hAnsi="Arial" w:cs="Arial"/>
          <w:sz w:val="20"/>
          <w:szCs w:val="20"/>
        </w:rPr>
        <w:t xml:space="preserve">" (AMS 00099885120084036109, DESEMBARGADOR FEDERAL NELSON PORFIRIO, </w:t>
      </w:r>
      <w:r w:rsidRPr="00361E0C">
        <w:rPr>
          <w:rFonts w:ascii="Arial" w:hAnsi="Arial" w:cs="Arial"/>
          <w:sz w:val="20"/>
          <w:szCs w:val="20"/>
        </w:rPr>
        <w:lastRenderedPageBreak/>
        <w:t>TRF3 - DÉCIMA TURMA, e-DJF3 Judicial 1 DATA:24/02/2016 ..FONTE_REPUBLICACAO:.). Destaquei.</w:t>
      </w:r>
    </w:p>
    <w:p w:rsidR="001446BB" w:rsidRDefault="001446BB" w:rsidP="001446BB">
      <w:pPr>
        <w:ind w:firstLine="1276"/>
      </w:pPr>
    </w:p>
    <w:p w:rsidR="001446BB" w:rsidRDefault="001446BB" w:rsidP="001446BB">
      <w:pPr>
        <w:pStyle w:val="ementa"/>
        <w:spacing w:before="0" w:after="0" w:line="360" w:lineRule="auto"/>
        <w:ind w:firstLine="1134"/>
        <w:rPr>
          <w:rFonts w:cs="Arial"/>
          <w:sz w:val="20"/>
          <w:szCs w:val="20"/>
        </w:rPr>
      </w:pPr>
      <w:r>
        <w:rPr>
          <w:rFonts w:cs="Arial"/>
          <w:sz w:val="20"/>
          <w:szCs w:val="20"/>
        </w:rPr>
        <w:t xml:space="preserve">A controvérsia cinge-se aos períodos abaixo, que obtiveram o reconhecimento da especialidade pelo juízo </w:t>
      </w:r>
      <w:r>
        <w:rPr>
          <w:rFonts w:cs="Arial"/>
          <w:i/>
          <w:sz w:val="20"/>
          <w:szCs w:val="20"/>
        </w:rPr>
        <w:t xml:space="preserve">a </w:t>
      </w:r>
      <w:proofErr w:type="spellStart"/>
      <w:r w:rsidRPr="00CE5407">
        <w:rPr>
          <w:rFonts w:cs="Arial"/>
          <w:sz w:val="20"/>
          <w:szCs w:val="20"/>
        </w:rPr>
        <w:t>quo</w:t>
      </w:r>
      <w:proofErr w:type="spellEnd"/>
      <w:r>
        <w:rPr>
          <w:rFonts w:cs="Arial"/>
          <w:sz w:val="20"/>
          <w:szCs w:val="20"/>
        </w:rPr>
        <w:t xml:space="preserve">. </w:t>
      </w:r>
    </w:p>
    <w:p w:rsidR="001446BB" w:rsidRPr="00CE5407" w:rsidRDefault="001446BB" w:rsidP="001446BB">
      <w:pPr>
        <w:pStyle w:val="ementa"/>
        <w:spacing w:after="0" w:line="360" w:lineRule="auto"/>
        <w:ind w:firstLine="1134"/>
        <w:rPr>
          <w:rFonts w:cs="Arial"/>
          <w:b/>
          <w:sz w:val="20"/>
          <w:szCs w:val="20"/>
        </w:rPr>
      </w:pPr>
      <w:r w:rsidRPr="00CE5407">
        <w:rPr>
          <w:rFonts w:cs="Arial"/>
          <w:sz w:val="20"/>
          <w:szCs w:val="20"/>
        </w:rPr>
        <w:t xml:space="preserve">a) </w:t>
      </w:r>
      <w:r w:rsidRPr="00CE5407">
        <w:rPr>
          <w:rFonts w:cs="Arial"/>
          <w:sz w:val="20"/>
          <w:szCs w:val="20"/>
          <w:u w:val="single"/>
        </w:rPr>
        <w:t>16.08.77 a 16.12.77 e 18.10.78 a 10.11.78</w:t>
      </w:r>
      <w:r w:rsidRPr="00CE5407">
        <w:rPr>
          <w:rFonts w:cs="Arial"/>
          <w:sz w:val="20"/>
          <w:szCs w:val="20"/>
        </w:rPr>
        <w:t xml:space="preserve"> – segundo o formulário DSS 8030 (fl. 177) o autor esteve exposto a </w:t>
      </w:r>
      <w:r w:rsidRPr="00CE5407">
        <w:rPr>
          <w:rFonts w:cs="Arial"/>
          <w:i/>
          <w:sz w:val="20"/>
          <w:szCs w:val="20"/>
        </w:rPr>
        <w:t>pó de madeiras,</w:t>
      </w:r>
      <w:r w:rsidRPr="00CE5407">
        <w:rPr>
          <w:rFonts w:cs="Arial"/>
          <w:sz w:val="20"/>
          <w:szCs w:val="20"/>
        </w:rPr>
        <w:t xml:space="preserve"> que não está descrito como agente nocivo na legislação de regência, e a ruído de 80 </w:t>
      </w:r>
      <w:proofErr w:type="gramStart"/>
      <w:r w:rsidRPr="00CE5407">
        <w:rPr>
          <w:rFonts w:cs="Arial"/>
          <w:sz w:val="20"/>
          <w:szCs w:val="20"/>
        </w:rPr>
        <w:t>dB</w:t>
      </w:r>
      <w:proofErr w:type="gramEnd"/>
      <w:r w:rsidRPr="00CE5407">
        <w:rPr>
          <w:rFonts w:cs="Arial"/>
          <w:sz w:val="20"/>
          <w:szCs w:val="20"/>
        </w:rPr>
        <w:t xml:space="preserve">, sem, contudo, apresentar laudo técnico pericial, </w:t>
      </w:r>
      <w:r w:rsidRPr="00CE5407">
        <w:rPr>
          <w:rFonts w:cs="Arial"/>
          <w:b/>
          <w:sz w:val="20"/>
          <w:szCs w:val="20"/>
        </w:rPr>
        <w:t>razão pela qual é indevido o reconhecimento da especialidade;</w:t>
      </w:r>
    </w:p>
    <w:p w:rsidR="001446BB" w:rsidRPr="00CE5407" w:rsidRDefault="001446BB" w:rsidP="001446BB">
      <w:pPr>
        <w:pStyle w:val="ementa"/>
        <w:spacing w:after="0" w:line="360" w:lineRule="auto"/>
        <w:ind w:firstLine="1134"/>
        <w:rPr>
          <w:rFonts w:cs="Arial"/>
          <w:i/>
          <w:sz w:val="20"/>
          <w:szCs w:val="20"/>
        </w:rPr>
      </w:pPr>
      <w:r w:rsidRPr="00CE5407">
        <w:rPr>
          <w:rFonts w:cs="Arial"/>
          <w:sz w:val="20"/>
          <w:szCs w:val="20"/>
        </w:rPr>
        <w:t xml:space="preserve">b) </w:t>
      </w:r>
      <w:r w:rsidRPr="00CE5407">
        <w:rPr>
          <w:rFonts w:cs="Arial"/>
          <w:sz w:val="20"/>
          <w:szCs w:val="20"/>
          <w:u w:val="single"/>
        </w:rPr>
        <w:t>20.07.99 a 30.12.99</w:t>
      </w:r>
      <w:r w:rsidRPr="00CE5407">
        <w:rPr>
          <w:rFonts w:cs="Arial"/>
          <w:sz w:val="20"/>
          <w:szCs w:val="20"/>
        </w:rPr>
        <w:t xml:space="preserve">; </w:t>
      </w:r>
      <w:r w:rsidRPr="00CE5407">
        <w:rPr>
          <w:rFonts w:cs="Arial"/>
          <w:sz w:val="20"/>
          <w:szCs w:val="20"/>
          <w:u w:val="single"/>
        </w:rPr>
        <w:t>26.11.2001 a 22.01.2007</w:t>
      </w:r>
      <w:r w:rsidRPr="00CE5407">
        <w:rPr>
          <w:rFonts w:cs="Arial"/>
          <w:sz w:val="20"/>
          <w:szCs w:val="20"/>
        </w:rPr>
        <w:t xml:space="preserve">; </w:t>
      </w:r>
      <w:r w:rsidRPr="00CE5407">
        <w:rPr>
          <w:rFonts w:cs="Arial"/>
          <w:sz w:val="20"/>
          <w:szCs w:val="20"/>
          <w:u w:val="single"/>
        </w:rPr>
        <w:t>17.11.2008 a 10.12.2009</w:t>
      </w:r>
      <w:r w:rsidRPr="00CE5407">
        <w:rPr>
          <w:rFonts w:cs="Arial"/>
          <w:sz w:val="20"/>
          <w:szCs w:val="20"/>
        </w:rPr>
        <w:t xml:space="preserve"> – conforme </w:t>
      </w:r>
      <w:proofErr w:type="spellStart"/>
      <w:r w:rsidRPr="00CE5407">
        <w:rPr>
          <w:rFonts w:cs="Arial"/>
          <w:sz w:val="20"/>
          <w:szCs w:val="20"/>
        </w:rPr>
        <w:t>PPPs</w:t>
      </w:r>
      <w:proofErr w:type="spellEnd"/>
      <w:r w:rsidRPr="00CE5407">
        <w:rPr>
          <w:rFonts w:cs="Arial"/>
          <w:sz w:val="20"/>
          <w:szCs w:val="20"/>
        </w:rPr>
        <w:t xml:space="preserve"> juntados às fls. 180/181; 182/183 e 184/185, a parte autora esteve exposta a ruído em intensidade de 90,97 e 90,87 </w:t>
      </w:r>
      <w:proofErr w:type="gramStart"/>
      <w:r w:rsidRPr="00CE5407">
        <w:rPr>
          <w:rFonts w:cs="Arial"/>
          <w:sz w:val="20"/>
          <w:szCs w:val="20"/>
        </w:rPr>
        <w:t>dB</w:t>
      </w:r>
      <w:proofErr w:type="gramEnd"/>
      <w:r w:rsidRPr="00CE5407">
        <w:rPr>
          <w:rFonts w:cs="Arial"/>
          <w:sz w:val="20"/>
          <w:szCs w:val="20"/>
        </w:rPr>
        <w:t xml:space="preserve">, sempre acima dos limites de tolerância, razão pela qual está correto o enquadramento realizado pelo juízo </w:t>
      </w:r>
      <w:r w:rsidRPr="00CE5407">
        <w:rPr>
          <w:rFonts w:cs="Arial"/>
          <w:i/>
          <w:sz w:val="20"/>
          <w:szCs w:val="20"/>
        </w:rPr>
        <w:t xml:space="preserve">a </w:t>
      </w:r>
      <w:proofErr w:type="spellStart"/>
      <w:r w:rsidRPr="00CE5407">
        <w:rPr>
          <w:rFonts w:cs="Arial"/>
          <w:i/>
          <w:sz w:val="20"/>
          <w:szCs w:val="20"/>
        </w:rPr>
        <w:t>quo</w:t>
      </w:r>
      <w:proofErr w:type="spellEnd"/>
      <w:r w:rsidRPr="00CE5407">
        <w:rPr>
          <w:rFonts w:cs="Arial"/>
          <w:sz w:val="20"/>
          <w:szCs w:val="20"/>
        </w:rPr>
        <w:t>;</w:t>
      </w:r>
    </w:p>
    <w:p w:rsidR="001446BB" w:rsidRPr="00CE5407" w:rsidRDefault="001446BB" w:rsidP="001446BB">
      <w:pPr>
        <w:pStyle w:val="ementa"/>
        <w:spacing w:after="0" w:line="360" w:lineRule="auto"/>
        <w:ind w:firstLine="1134"/>
        <w:rPr>
          <w:rFonts w:cs="Arial"/>
          <w:b/>
          <w:sz w:val="20"/>
          <w:szCs w:val="20"/>
        </w:rPr>
      </w:pPr>
      <w:r w:rsidRPr="00CE5407">
        <w:rPr>
          <w:rFonts w:cs="Arial"/>
          <w:sz w:val="20"/>
          <w:szCs w:val="20"/>
        </w:rPr>
        <w:t xml:space="preserve">c) </w:t>
      </w:r>
      <w:r w:rsidRPr="00CE5407">
        <w:rPr>
          <w:rFonts w:cs="Arial"/>
          <w:sz w:val="20"/>
          <w:szCs w:val="20"/>
          <w:u w:val="single"/>
        </w:rPr>
        <w:t>30.10.2007 a 29.08.2008</w:t>
      </w:r>
      <w:r w:rsidRPr="00CE5407">
        <w:rPr>
          <w:rFonts w:cs="Arial"/>
          <w:sz w:val="20"/>
          <w:szCs w:val="20"/>
        </w:rPr>
        <w:t xml:space="preserve"> – o PPP de fls. 186/187 dá conta da exposição </w:t>
      </w:r>
      <w:proofErr w:type="gramStart"/>
      <w:r w:rsidRPr="00CE5407">
        <w:rPr>
          <w:rFonts w:cs="Arial"/>
          <w:sz w:val="20"/>
          <w:szCs w:val="20"/>
        </w:rPr>
        <w:t>a</w:t>
      </w:r>
      <w:proofErr w:type="gramEnd"/>
      <w:r w:rsidRPr="00CE5407">
        <w:rPr>
          <w:rFonts w:cs="Arial"/>
          <w:sz w:val="20"/>
          <w:szCs w:val="20"/>
        </w:rPr>
        <w:t xml:space="preserve"> radiação solar e, genericamente, “agentes químicos”.  A genérica anotação em relação aos agentes químicos inviabiliza o reconhecimento da especialidade sob este prisma. No que concerne à radiação solar, o agente físico calor é de análise </w:t>
      </w:r>
      <w:r w:rsidRPr="00CE5407">
        <w:rPr>
          <w:rFonts w:cs="Arial"/>
          <w:b/>
          <w:sz w:val="20"/>
          <w:szCs w:val="20"/>
        </w:rPr>
        <w:t>quantitativa</w:t>
      </w:r>
      <w:r w:rsidRPr="00CE5407">
        <w:rPr>
          <w:rFonts w:cs="Arial"/>
          <w:sz w:val="20"/>
          <w:szCs w:val="20"/>
        </w:rPr>
        <w:t xml:space="preserve">, estando os limites de tolerância estabelecidos pelo Anexo III da NR 15. Como o PPP não informa os índices de exposição, </w:t>
      </w:r>
      <w:r w:rsidRPr="00CE5407">
        <w:rPr>
          <w:rFonts w:cs="Arial"/>
          <w:b/>
          <w:sz w:val="20"/>
          <w:szCs w:val="20"/>
        </w:rPr>
        <w:t xml:space="preserve">o período há de ser considerado comum, merecendo reforma a sentença neste </w:t>
      </w:r>
      <w:proofErr w:type="gramStart"/>
      <w:r w:rsidRPr="00CE5407">
        <w:rPr>
          <w:rFonts w:cs="Arial"/>
          <w:b/>
          <w:sz w:val="20"/>
          <w:szCs w:val="20"/>
        </w:rPr>
        <w:t>ponto</w:t>
      </w:r>
      <w:proofErr w:type="gramEnd"/>
    </w:p>
    <w:p w:rsidR="001446BB" w:rsidRPr="00CE5407" w:rsidRDefault="001446BB" w:rsidP="001446BB">
      <w:pPr>
        <w:pStyle w:val="ementa"/>
        <w:spacing w:after="0" w:line="360" w:lineRule="auto"/>
        <w:ind w:firstLine="1134"/>
        <w:rPr>
          <w:rFonts w:cs="Arial"/>
          <w:sz w:val="20"/>
          <w:szCs w:val="20"/>
        </w:rPr>
      </w:pPr>
      <w:r w:rsidRPr="00CE5407">
        <w:rPr>
          <w:rFonts w:cs="Arial"/>
          <w:sz w:val="20"/>
          <w:szCs w:val="20"/>
        </w:rPr>
        <w:t xml:space="preserve">d) </w:t>
      </w:r>
      <w:r w:rsidRPr="00CE5407">
        <w:rPr>
          <w:rFonts w:cs="Arial"/>
          <w:sz w:val="20"/>
          <w:szCs w:val="20"/>
          <w:u w:val="single"/>
        </w:rPr>
        <w:t>28.11.2011 a 03.10.2012</w:t>
      </w:r>
      <w:r w:rsidRPr="00CE5407">
        <w:rPr>
          <w:rFonts w:cs="Arial"/>
          <w:sz w:val="20"/>
          <w:szCs w:val="20"/>
        </w:rPr>
        <w:t xml:space="preserve"> – consoante PP</w:t>
      </w:r>
      <w:r w:rsidR="000C3292">
        <w:rPr>
          <w:rFonts w:cs="Arial"/>
          <w:sz w:val="20"/>
          <w:szCs w:val="20"/>
        </w:rPr>
        <w:t>P</w:t>
      </w:r>
      <w:r w:rsidRPr="00CE5407">
        <w:rPr>
          <w:rFonts w:cs="Arial"/>
          <w:sz w:val="20"/>
          <w:szCs w:val="20"/>
        </w:rPr>
        <w:t xml:space="preserve"> de fls. 190/191 o autor estava exposta a </w:t>
      </w:r>
      <w:r w:rsidRPr="00CE5407">
        <w:rPr>
          <w:rFonts w:cs="Arial"/>
          <w:bCs/>
          <w:sz w:val="20"/>
          <w:szCs w:val="20"/>
        </w:rPr>
        <w:t>fumos metálicos</w:t>
      </w:r>
      <w:r w:rsidRPr="00CE5407">
        <w:rPr>
          <w:rFonts w:cs="Arial"/>
          <w:sz w:val="20"/>
          <w:szCs w:val="20"/>
        </w:rPr>
        <w:t xml:space="preserve"> de produtos a base de sílica, comprovando o enquadramento e no item 1.0.16 do Anexo IV do Decreto 3.048/99, razão pela qual se impõe o enquadramento do período, tal como feito em sentença.</w:t>
      </w:r>
    </w:p>
    <w:p w:rsidR="001446BB" w:rsidRDefault="001446BB" w:rsidP="001446BB">
      <w:pPr>
        <w:pStyle w:val="ementa"/>
        <w:spacing w:before="0" w:after="0" w:line="360" w:lineRule="auto"/>
        <w:ind w:firstLine="1134"/>
        <w:rPr>
          <w:rFonts w:cs="Arial"/>
          <w:sz w:val="20"/>
          <w:szCs w:val="20"/>
        </w:rPr>
      </w:pPr>
      <w:r>
        <w:rPr>
          <w:rFonts w:cs="Arial"/>
          <w:sz w:val="20"/>
          <w:szCs w:val="20"/>
        </w:rPr>
        <w:t xml:space="preserve">Assim sendo, desconsiderada a especialidade dos interstícios listados nos tópicos “a” e “c” acima, o tempo de contribuição da parte autora há de ser reduzido em </w:t>
      </w:r>
      <w:proofErr w:type="gramStart"/>
      <w:r>
        <w:rPr>
          <w:rFonts w:cs="Arial"/>
          <w:sz w:val="20"/>
          <w:szCs w:val="20"/>
        </w:rPr>
        <w:t>5</w:t>
      </w:r>
      <w:proofErr w:type="gramEnd"/>
      <w:r>
        <w:rPr>
          <w:rFonts w:cs="Arial"/>
          <w:sz w:val="20"/>
          <w:szCs w:val="20"/>
        </w:rPr>
        <w:t xml:space="preserve"> meses e 27 dias, conforme simulação abaixo:</w:t>
      </w:r>
    </w:p>
    <w:p w:rsidR="00B2152F" w:rsidRDefault="00B2152F" w:rsidP="001446BB">
      <w:pPr>
        <w:pStyle w:val="ementa"/>
        <w:spacing w:before="0" w:after="0" w:line="360" w:lineRule="auto"/>
        <w:ind w:firstLine="1134"/>
        <w:rPr>
          <w:rFonts w:cs="Arial"/>
          <w:sz w:val="20"/>
          <w:szCs w:val="20"/>
        </w:rPr>
      </w:pPr>
    </w:p>
    <w:p w:rsidR="001446BB" w:rsidRPr="00C11FC3" w:rsidRDefault="001446BB" w:rsidP="001446BB">
      <w:pPr>
        <w:pBdr>
          <w:top w:val="single" w:sz="4" w:space="1" w:color="auto"/>
          <w:left w:val="single" w:sz="4" w:space="4" w:color="auto"/>
          <w:bottom w:val="single" w:sz="4" w:space="1" w:color="auto"/>
          <w:right w:val="single" w:sz="4" w:space="4" w:color="auto"/>
        </w:pBdr>
        <w:ind w:right="1702"/>
        <w:outlineLvl w:val="0"/>
        <w:rPr>
          <w:rFonts w:ascii="Arial" w:hAnsi="Arial" w:cs="Arial"/>
          <w:b/>
          <w:sz w:val="20"/>
          <w:szCs w:val="20"/>
        </w:rPr>
      </w:pPr>
      <w:r w:rsidRPr="00C11FC3">
        <w:rPr>
          <w:rFonts w:ascii="Arial" w:hAnsi="Arial" w:cs="Arial"/>
          <w:sz w:val="20"/>
          <w:szCs w:val="20"/>
        </w:rPr>
        <w:t>SIMULAÇÃO DE CONTAGEM DE TEMPO DE CONTRIBUIÇÃO</w:t>
      </w:r>
      <w:r w:rsidRPr="00C11FC3">
        <w:rPr>
          <w:rFonts w:ascii="Arial" w:hAnsi="Arial" w:cs="Arial"/>
          <w:sz w:val="20"/>
          <w:szCs w:val="20"/>
        </w:rPr>
        <w:br/>
      </w:r>
      <w:r w:rsidRPr="00C11FC3">
        <w:rPr>
          <w:rFonts w:ascii="Arial" w:hAnsi="Arial" w:cs="Arial"/>
          <w:b/>
          <w:sz w:val="20"/>
          <w:szCs w:val="20"/>
        </w:rPr>
        <w:t>Ord.</w:t>
      </w:r>
      <w:r w:rsidRPr="00C11FC3">
        <w:rPr>
          <w:rFonts w:ascii="Arial" w:hAnsi="Arial" w:cs="Arial"/>
          <w:b/>
          <w:sz w:val="20"/>
          <w:szCs w:val="20"/>
        </w:rPr>
        <w:tab/>
        <w:t xml:space="preserve">Data inicial     Data final       Índice           </w:t>
      </w:r>
      <w:r>
        <w:rPr>
          <w:rFonts w:ascii="Arial" w:hAnsi="Arial" w:cs="Arial"/>
          <w:b/>
          <w:sz w:val="20"/>
          <w:szCs w:val="20"/>
        </w:rPr>
        <w:tab/>
      </w:r>
      <w:r w:rsidRPr="00C11FC3">
        <w:rPr>
          <w:rFonts w:ascii="Arial" w:hAnsi="Arial" w:cs="Arial"/>
          <w:b/>
          <w:sz w:val="20"/>
          <w:szCs w:val="20"/>
        </w:rPr>
        <w:t>Ano</w:t>
      </w:r>
      <w:r w:rsidRPr="00C11FC3">
        <w:rPr>
          <w:rFonts w:ascii="Arial" w:hAnsi="Arial" w:cs="Arial"/>
          <w:b/>
          <w:sz w:val="20"/>
          <w:szCs w:val="20"/>
        </w:rPr>
        <w:tab/>
        <w:t>Mês</w:t>
      </w:r>
      <w:r w:rsidRPr="00C11FC3">
        <w:rPr>
          <w:rFonts w:ascii="Arial" w:hAnsi="Arial" w:cs="Arial"/>
          <w:b/>
          <w:sz w:val="20"/>
          <w:szCs w:val="20"/>
        </w:rPr>
        <w:tab/>
        <w:t>Dias</w:t>
      </w:r>
      <w:r w:rsidRPr="00C11FC3">
        <w:rPr>
          <w:rFonts w:ascii="Arial" w:hAnsi="Arial" w:cs="Arial"/>
          <w:b/>
          <w:sz w:val="20"/>
          <w:szCs w:val="20"/>
        </w:rPr>
        <w:tab/>
        <w:t>Total</w:t>
      </w:r>
      <w:r w:rsidRPr="00C11FC3">
        <w:rPr>
          <w:rFonts w:ascii="Arial" w:hAnsi="Arial" w:cs="Arial"/>
          <w:b/>
          <w:sz w:val="20"/>
          <w:szCs w:val="20"/>
        </w:rPr>
        <w:tab/>
      </w:r>
    </w:p>
    <w:p w:rsidR="001446BB" w:rsidRPr="00C11FC3" w:rsidRDefault="001446BB" w:rsidP="001446BB">
      <w:pPr>
        <w:pStyle w:val="ementa"/>
        <w:pBdr>
          <w:top w:val="single" w:sz="4" w:space="1" w:color="auto"/>
          <w:left w:val="single" w:sz="4" w:space="4" w:color="auto"/>
          <w:bottom w:val="single" w:sz="4" w:space="1" w:color="auto"/>
          <w:right w:val="single" w:sz="4" w:space="4" w:color="auto"/>
        </w:pBdr>
        <w:spacing w:before="0" w:after="0" w:line="360" w:lineRule="auto"/>
        <w:ind w:right="1702"/>
        <w:rPr>
          <w:rFonts w:cs="Arial"/>
          <w:sz w:val="20"/>
          <w:szCs w:val="20"/>
        </w:rPr>
      </w:pPr>
      <w:r w:rsidRPr="00C11FC3">
        <w:rPr>
          <w:rFonts w:cs="Arial"/>
          <w:noProof/>
          <w:sz w:val="20"/>
          <w:szCs w:val="20"/>
        </w:rPr>
        <w:t>1</w:t>
      </w:r>
      <w:r w:rsidRPr="00C11FC3">
        <w:rPr>
          <w:rFonts w:cs="Arial"/>
          <w:sz w:val="20"/>
          <w:szCs w:val="20"/>
        </w:rPr>
        <w:tab/>
      </w:r>
      <w:r w:rsidRPr="00C11FC3">
        <w:rPr>
          <w:rFonts w:cs="Arial"/>
          <w:noProof/>
          <w:sz w:val="20"/>
          <w:szCs w:val="20"/>
        </w:rPr>
        <w:t>16/08/1977</w:t>
      </w:r>
      <w:r w:rsidRPr="00C11FC3">
        <w:rPr>
          <w:rFonts w:cs="Arial"/>
          <w:sz w:val="20"/>
          <w:szCs w:val="20"/>
        </w:rPr>
        <w:tab/>
      </w:r>
      <w:r w:rsidRPr="00C11FC3">
        <w:rPr>
          <w:rFonts w:cs="Arial"/>
          <w:noProof/>
          <w:sz w:val="20"/>
          <w:szCs w:val="20"/>
        </w:rPr>
        <w:t>16/12/1977</w:t>
      </w:r>
      <w:r w:rsidRPr="00C11FC3">
        <w:rPr>
          <w:rFonts w:cs="Arial"/>
          <w:sz w:val="20"/>
          <w:szCs w:val="20"/>
        </w:rPr>
        <w:tab/>
      </w:r>
      <w:r w:rsidRPr="00C11FC3">
        <w:rPr>
          <w:rFonts w:cs="Arial"/>
          <w:noProof/>
          <w:sz w:val="20"/>
          <w:szCs w:val="20"/>
        </w:rPr>
        <w:t>0,4</w:t>
      </w:r>
      <w:r w:rsidRPr="00C11FC3">
        <w:rPr>
          <w:rFonts w:cs="Arial"/>
          <w:sz w:val="20"/>
          <w:szCs w:val="20"/>
        </w:rPr>
        <w:tab/>
      </w:r>
      <w:r w:rsidRPr="00C11FC3">
        <w:rPr>
          <w:rFonts w:cs="Arial"/>
          <w:sz w:val="20"/>
          <w:szCs w:val="20"/>
        </w:rPr>
        <w:tab/>
      </w:r>
      <w:r w:rsidRPr="00C11FC3">
        <w:rPr>
          <w:rFonts w:cs="Arial"/>
          <w:noProof/>
          <w:sz w:val="20"/>
          <w:szCs w:val="20"/>
        </w:rPr>
        <w:t>0</w:t>
      </w:r>
      <w:r w:rsidRPr="00C11FC3">
        <w:rPr>
          <w:rFonts w:cs="Arial"/>
          <w:sz w:val="20"/>
          <w:szCs w:val="20"/>
        </w:rPr>
        <w:tab/>
      </w:r>
      <w:r w:rsidRPr="00C11FC3">
        <w:rPr>
          <w:rFonts w:cs="Arial"/>
          <w:noProof/>
          <w:sz w:val="20"/>
          <w:szCs w:val="20"/>
        </w:rPr>
        <w:t>1</w:t>
      </w:r>
      <w:r w:rsidRPr="00C11FC3">
        <w:rPr>
          <w:rFonts w:cs="Arial"/>
          <w:sz w:val="20"/>
          <w:szCs w:val="20"/>
        </w:rPr>
        <w:tab/>
      </w:r>
      <w:r w:rsidRPr="00C11FC3">
        <w:rPr>
          <w:rFonts w:cs="Arial"/>
          <w:noProof/>
          <w:sz w:val="20"/>
          <w:szCs w:val="20"/>
        </w:rPr>
        <w:t>18</w:t>
      </w:r>
      <w:r w:rsidRPr="00C11FC3">
        <w:rPr>
          <w:rFonts w:cs="Arial"/>
          <w:sz w:val="20"/>
          <w:szCs w:val="20"/>
        </w:rPr>
        <w:tab/>
      </w:r>
      <w:r w:rsidRPr="00C11FC3">
        <w:rPr>
          <w:rFonts w:cs="Arial"/>
          <w:noProof/>
          <w:sz w:val="20"/>
          <w:szCs w:val="20"/>
        </w:rPr>
        <w:t>48</w:t>
      </w:r>
      <w:r w:rsidRPr="00C11FC3">
        <w:rPr>
          <w:rFonts w:cs="Arial"/>
          <w:sz w:val="20"/>
          <w:szCs w:val="20"/>
        </w:rPr>
        <w:tab/>
      </w:r>
      <w:r w:rsidRPr="00C11FC3">
        <w:rPr>
          <w:rFonts w:cs="Arial"/>
          <w:sz w:val="20"/>
          <w:szCs w:val="20"/>
        </w:rPr>
        <w:br/>
      </w:r>
      <w:r w:rsidRPr="00C11FC3">
        <w:rPr>
          <w:rFonts w:cs="Arial"/>
          <w:noProof/>
          <w:sz w:val="20"/>
          <w:szCs w:val="20"/>
        </w:rPr>
        <w:t>2</w:t>
      </w:r>
      <w:r w:rsidRPr="00C11FC3">
        <w:rPr>
          <w:rFonts w:cs="Arial"/>
          <w:sz w:val="20"/>
          <w:szCs w:val="20"/>
        </w:rPr>
        <w:tab/>
      </w:r>
      <w:r w:rsidRPr="00C11FC3">
        <w:rPr>
          <w:rFonts w:cs="Arial"/>
          <w:noProof/>
          <w:sz w:val="20"/>
          <w:szCs w:val="20"/>
        </w:rPr>
        <w:t>18/10/1978</w:t>
      </w:r>
      <w:r w:rsidRPr="00C11FC3">
        <w:rPr>
          <w:rFonts w:cs="Arial"/>
          <w:sz w:val="20"/>
          <w:szCs w:val="20"/>
        </w:rPr>
        <w:tab/>
      </w:r>
      <w:r w:rsidRPr="00C11FC3">
        <w:rPr>
          <w:rFonts w:cs="Arial"/>
          <w:noProof/>
          <w:sz w:val="20"/>
          <w:szCs w:val="20"/>
        </w:rPr>
        <w:t>10/11/1978</w:t>
      </w:r>
      <w:r w:rsidRPr="00C11FC3">
        <w:rPr>
          <w:rFonts w:cs="Arial"/>
          <w:sz w:val="20"/>
          <w:szCs w:val="20"/>
        </w:rPr>
        <w:tab/>
      </w:r>
      <w:r w:rsidRPr="00C11FC3">
        <w:rPr>
          <w:rFonts w:cs="Arial"/>
          <w:noProof/>
          <w:sz w:val="20"/>
          <w:szCs w:val="20"/>
        </w:rPr>
        <w:t>0,4</w:t>
      </w:r>
      <w:r w:rsidRPr="00C11FC3">
        <w:rPr>
          <w:rFonts w:cs="Arial"/>
          <w:sz w:val="20"/>
          <w:szCs w:val="20"/>
        </w:rPr>
        <w:tab/>
      </w:r>
      <w:r w:rsidRPr="00C11FC3">
        <w:rPr>
          <w:rFonts w:cs="Arial"/>
          <w:sz w:val="20"/>
          <w:szCs w:val="20"/>
        </w:rPr>
        <w:tab/>
      </w:r>
      <w:r w:rsidRPr="00C11FC3">
        <w:rPr>
          <w:rFonts w:cs="Arial"/>
          <w:noProof/>
          <w:sz w:val="20"/>
          <w:szCs w:val="20"/>
        </w:rPr>
        <w:t>0</w:t>
      </w:r>
      <w:r w:rsidRPr="00C11FC3">
        <w:rPr>
          <w:rFonts w:cs="Arial"/>
          <w:sz w:val="20"/>
          <w:szCs w:val="20"/>
        </w:rPr>
        <w:tab/>
      </w:r>
      <w:r w:rsidRPr="00C11FC3">
        <w:rPr>
          <w:rFonts w:cs="Arial"/>
          <w:noProof/>
          <w:sz w:val="20"/>
          <w:szCs w:val="20"/>
        </w:rPr>
        <w:t>0</w:t>
      </w:r>
      <w:r w:rsidRPr="00C11FC3">
        <w:rPr>
          <w:rFonts w:cs="Arial"/>
          <w:sz w:val="20"/>
          <w:szCs w:val="20"/>
        </w:rPr>
        <w:tab/>
      </w:r>
      <w:r w:rsidRPr="00C11FC3">
        <w:rPr>
          <w:rFonts w:cs="Arial"/>
          <w:noProof/>
          <w:sz w:val="20"/>
          <w:szCs w:val="20"/>
        </w:rPr>
        <w:t>9</w:t>
      </w:r>
      <w:r w:rsidRPr="00C11FC3">
        <w:rPr>
          <w:rFonts w:cs="Arial"/>
          <w:sz w:val="20"/>
          <w:szCs w:val="20"/>
        </w:rPr>
        <w:tab/>
      </w:r>
      <w:r w:rsidRPr="00C11FC3">
        <w:rPr>
          <w:rFonts w:cs="Arial"/>
          <w:noProof/>
          <w:sz w:val="20"/>
          <w:szCs w:val="20"/>
        </w:rPr>
        <w:t>9</w:t>
      </w:r>
      <w:r w:rsidRPr="00C11FC3">
        <w:rPr>
          <w:rFonts w:cs="Arial"/>
          <w:sz w:val="20"/>
          <w:szCs w:val="20"/>
        </w:rPr>
        <w:t xml:space="preserve"> </w:t>
      </w:r>
      <w:r w:rsidRPr="00C11FC3">
        <w:rPr>
          <w:rFonts w:cs="Arial"/>
          <w:sz w:val="20"/>
          <w:szCs w:val="20"/>
        </w:rPr>
        <w:br/>
      </w:r>
      <w:r w:rsidRPr="00C11FC3">
        <w:rPr>
          <w:rFonts w:cs="Arial"/>
          <w:noProof/>
          <w:sz w:val="20"/>
          <w:szCs w:val="20"/>
        </w:rPr>
        <w:t>3</w:t>
      </w:r>
      <w:r w:rsidRPr="00C11FC3">
        <w:rPr>
          <w:rFonts w:cs="Arial"/>
          <w:sz w:val="20"/>
          <w:szCs w:val="20"/>
        </w:rPr>
        <w:tab/>
      </w:r>
      <w:r w:rsidRPr="00C11FC3">
        <w:rPr>
          <w:rFonts w:cs="Arial"/>
          <w:noProof/>
          <w:sz w:val="20"/>
          <w:szCs w:val="20"/>
        </w:rPr>
        <w:t>30/10/2007</w:t>
      </w:r>
      <w:r w:rsidRPr="00C11FC3">
        <w:rPr>
          <w:rFonts w:cs="Arial"/>
          <w:sz w:val="20"/>
          <w:szCs w:val="20"/>
        </w:rPr>
        <w:tab/>
      </w:r>
      <w:r w:rsidRPr="00C11FC3">
        <w:rPr>
          <w:rFonts w:cs="Arial"/>
          <w:noProof/>
          <w:sz w:val="20"/>
          <w:szCs w:val="20"/>
        </w:rPr>
        <w:t>29/08/2008</w:t>
      </w:r>
      <w:r w:rsidRPr="00C11FC3">
        <w:rPr>
          <w:rFonts w:cs="Arial"/>
          <w:sz w:val="20"/>
          <w:szCs w:val="20"/>
        </w:rPr>
        <w:tab/>
      </w:r>
      <w:r w:rsidRPr="00C11FC3">
        <w:rPr>
          <w:rFonts w:cs="Arial"/>
          <w:noProof/>
          <w:sz w:val="20"/>
          <w:szCs w:val="20"/>
        </w:rPr>
        <w:t>0,4</w:t>
      </w:r>
      <w:r w:rsidRPr="00C11FC3">
        <w:rPr>
          <w:rFonts w:cs="Arial"/>
          <w:sz w:val="20"/>
          <w:szCs w:val="20"/>
        </w:rPr>
        <w:tab/>
      </w:r>
      <w:r w:rsidRPr="00C11FC3">
        <w:rPr>
          <w:rFonts w:cs="Arial"/>
          <w:sz w:val="20"/>
          <w:szCs w:val="20"/>
        </w:rPr>
        <w:tab/>
      </w:r>
      <w:r w:rsidRPr="00C11FC3">
        <w:rPr>
          <w:rFonts w:cs="Arial"/>
          <w:noProof/>
          <w:sz w:val="20"/>
          <w:szCs w:val="20"/>
        </w:rPr>
        <w:t>0</w:t>
      </w:r>
      <w:r w:rsidRPr="00C11FC3">
        <w:rPr>
          <w:rFonts w:cs="Arial"/>
          <w:sz w:val="20"/>
          <w:szCs w:val="20"/>
        </w:rPr>
        <w:tab/>
      </w:r>
      <w:r w:rsidRPr="00C11FC3">
        <w:rPr>
          <w:rFonts w:cs="Arial"/>
          <w:noProof/>
          <w:sz w:val="20"/>
          <w:szCs w:val="20"/>
        </w:rPr>
        <w:t>4</w:t>
      </w:r>
      <w:r w:rsidRPr="00C11FC3">
        <w:rPr>
          <w:rFonts w:cs="Arial"/>
          <w:sz w:val="20"/>
          <w:szCs w:val="20"/>
        </w:rPr>
        <w:tab/>
      </w:r>
      <w:r w:rsidRPr="00C11FC3">
        <w:rPr>
          <w:rFonts w:cs="Arial"/>
          <w:noProof/>
          <w:sz w:val="20"/>
          <w:szCs w:val="20"/>
        </w:rPr>
        <w:t>0</w:t>
      </w:r>
      <w:r w:rsidRPr="00C11FC3">
        <w:rPr>
          <w:rFonts w:cs="Arial"/>
          <w:sz w:val="20"/>
          <w:szCs w:val="20"/>
        </w:rPr>
        <w:tab/>
      </w:r>
      <w:r w:rsidRPr="00C11FC3">
        <w:rPr>
          <w:rFonts w:cs="Arial"/>
          <w:noProof/>
          <w:sz w:val="20"/>
          <w:szCs w:val="20"/>
        </w:rPr>
        <w:t>121</w:t>
      </w:r>
      <w:r w:rsidRPr="00C11FC3">
        <w:rPr>
          <w:rFonts w:cs="Arial"/>
          <w:sz w:val="20"/>
          <w:szCs w:val="20"/>
        </w:rPr>
        <w:t xml:space="preserve"> </w:t>
      </w:r>
      <w:r w:rsidRPr="00C11FC3">
        <w:rPr>
          <w:rFonts w:cs="Arial"/>
          <w:sz w:val="20"/>
          <w:szCs w:val="20"/>
        </w:rPr>
        <w:br/>
      </w:r>
      <w:r w:rsidRPr="00C11FC3">
        <w:rPr>
          <w:rFonts w:cs="Arial"/>
          <w:sz w:val="20"/>
          <w:szCs w:val="20"/>
        </w:rPr>
        <w:tab/>
      </w:r>
      <w:r w:rsidRPr="00C11FC3">
        <w:rPr>
          <w:rFonts w:cs="Arial"/>
          <w:sz w:val="20"/>
          <w:szCs w:val="20"/>
        </w:rPr>
        <w:tab/>
      </w:r>
      <w:r w:rsidRPr="00C11FC3">
        <w:rPr>
          <w:rFonts w:cs="Arial"/>
          <w:noProof/>
          <w:sz w:val="20"/>
          <w:szCs w:val="20"/>
        </w:rPr>
        <w:t xml:space="preserve">RESULTADO    </w:t>
      </w:r>
      <w:r w:rsidRPr="00C11FC3">
        <w:rPr>
          <w:rFonts w:cs="Arial"/>
          <w:sz w:val="20"/>
          <w:szCs w:val="20"/>
        </w:rPr>
        <w:tab/>
      </w:r>
      <w:r w:rsidRPr="00C11FC3">
        <w:rPr>
          <w:rFonts w:cs="Arial"/>
          <w:sz w:val="20"/>
          <w:szCs w:val="20"/>
        </w:rPr>
        <w:tab/>
      </w:r>
      <w:r w:rsidRPr="00C11FC3">
        <w:rPr>
          <w:rFonts w:cs="Arial"/>
          <w:sz w:val="20"/>
          <w:szCs w:val="20"/>
        </w:rPr>
        <w:tab/>
      </w:r>
      <w:r w:rsidRPr="00C11FC3">
        <w:rPr>
          <w:rFonts w:cs="Arial"/>
          <w:noProof/>
          <w:sz w:val="20"/>
          <w:szCs w:val="20"/>
        </w:rPr>
        <w:t>0</w:t>
      </w:r>
      <w:r w:rsidRPr="00C11FC3">
        <w:rPr>
          <w:rFonts w:cs="Arial"/>
          <w:sz w:val="20"/>
          <w:szCs w:val="20"/>
        </w:rPr>
        <w:tab/>
      </w:r>
      <w:r w:rsidRPr="00C11FC3">
        <w:rPr>
          <w:rFonts w:cs="Arial"/>
          <w:noProof/>
          <w:sz w:val="20"/>
          <w:szCs w:val="20"/>
        </w:rPr>
        <w:t>5</w:t>
      </w:r>
      <w:r w:rsidRPr="00C11FC3">
        <w:rPr>
          <w:rFonts w:cs="Arial"/>
          <w:sz w:val="20"/>
          <w:szCs w:val="20"/>
        </w:rPr>
        <w:tab/>
      </w:r>
      <w:r w:rsidRPr="00C11FC3">
        <w:rPr>
          <w:rFonts w:cs="Arial"/>
          <w:noProof/>
          <w:sz w:val="20"/>
          <w:szCs w:val="20"/>
        </w:rPr>
        <w:t>27</w:t>
      </w:r>
      <w:r w:rsidRPr="00C11FC3">
        <w:rPr>
          <w:rFonts w:cs="Arial"/>
          <w:sz w:val="20"/>
          <w:szCs w:val="20"/>
        </w:rPr>
        <w:tab/>
      </w:r>
      <w:r w:rsidRPr="00C11FC3">
        <w:rPr>
          <w:rFonts w:cs="Arial"/>
          <w:noProof/>
          <w:sz w:val="20"/>
          <w:szCs w:val="20"/>
        </w:rPr>
        <w:t>178</w:t>
      </w:r>
    </w:p>
    <w:p w:rsidR="001446BB" w:rsidRPr="00C11FC3" w:rsidRDefault="001446BB" w:rsidP="001446BB">
      <w:pPr>
        <w:pStyle w:val="ementa"/>
        <w:spacing w:before="0" w:after="0" w:line="360" w:lineRule="auto"/>
        <w:ind w:firstLine="1134"/>
        <w:rPr>
          <w:rFonts w:cs="Arial"/>
          <w:sz w:val="20"/>
          <w:szCs w:val="20"/>
        </w:rPr>
      </w:pPr>
    </w:p>
    <w:p w:rsidR="001446BB" w:rsidRDefault="001446BB" w:rsidP="001446BB">
      <w:pPr>
        <w:pStyle w:val="ementa"/>
        <w:spacing w:before="0" w:after="0" w:line="360" w:lineRule="auto"/>
        <w:ind w:firstLine="1134"/>
        <w:rPr>
          <w:rFonts w:cs="Arial"/>
          <w:sz w:val="20"/>
          <w:szCs w:val="20"/>
        </w:rPr>
      </w:pPr>
      <w:r>
        <w:rPr>
          <w:rFonts w:cs="Arial"/>
          <w:sz w:val="20"/>
          <w:szCs w:val="20"/>
        </w:rPr>
        <w:t xml:space="preserve">Na forma da simulação anexa à sentença (fls. 278/279), o segurado contava, na DER, com 37 anos </w:t>
      </w:r>
      <w:proofErr w:type="gramStart"/>
      <w:r>
        <w:rPr>
          <w:rFonts w:cs="Arial"/>
          <w:sz w:val="20"/>
          <w:szCs w:val="20"/>
        </w:rPr>
        <w:t>5</w:t>
      </w:r>
      <w:proofErr w:type="gramEnd"/>
      <w:r>
        <w:rPr>
          <w:rFonts w:cs="Arial"/>
          <w:sz w:val="20"/>
          <w:szCs w:val="20"/>
        </w:rPr>
        <w:t xml:space="preserve"> meses e 4 dias de tempo de contribuição, do qual deverá ser abatido o tempo constante da simulação acima, </w:t>
      </w:r>
      <w:r>
        <w:rPr>
          <w:rFonts w:cs="Arial"/>
          <w:b/>
          <w:sz w:val="20"/>
          <w:szCs w:val="20"/>
        </w:rPr>
        <w:t xml:space="preserve">mantido o seu direito à concessão da aposentadoria integral desde a DER, </w:t>
      </w:r>
      <w:r w:rsidRPr="004E4212">
        <w:rPr>
          <w:rFonts w:cs="Arial"/>
          <w:sz w:val="20"/>
          <w:szCs w:val="20"/>
        </w:rPr>
        <w:t>conforme assegurado em sentença</w:t>
      </w:r>
      <w:r>
        <w:rPr>
          <w:rFonts w:cs="Arial"/>
          <w:sz w:val="20"/>
          <w:szCs w:val="20"/>
        </w:rPr>
        <w:t>.</w:t>
      </w:r>
    </w:p>
    <w:p w:rsidR="001446BB" w:rsidRPr="002A0E80" w:rsidRDefault="001446BB" w:rsidP="001446BB">
      <w:pPr>
        <w:pStyle w:val="Pargrafo"/>
        <w:spacing w:before="0" w:after="0" w:line="360" w:lineRule="auto"/>
        <w:ind w:firstLine="1134"/>
        <w:rPr>
          <w:rFonts w:cs="Arial"/>
          <w:iCs/>
          <w:sz w:val="20"/>
          <w:szCs w:val="20"/>
        </w:rPr>
      </w:pPr>
      <w:r w:rsidRPr="002A0E80">
        <w:rPr>
          <w:rFonts w:cs="Arial"/>
          <w:iCs/>
          <w:sz w:val="20"/>
          <w:szCs w:val="20"/>
        </w:rPr>
        <w:t>Em relação aos juros de mora (a partir da citação) e correção monetária, conforme orientação seguida por esta Câmara</w:t>
      </w:r>
      <w:proofErr w:type="gramStart"/>
      <w:r w:rsidRPr="002A0E80">
        <w:rPr>
          <w:rFonts w:cs="Arial"/>
          <w:iCs/>
          <w:sz w:val="20"/>
          <w:szCs w:val="20"/>
        </w:rPr>
        <w:t>, devem</w:t>
      </w:r>
      <w:proofErr w:type="gramEnd"/>
      <w:r w:rsidRPr="002A0E80">
        <w:rPr>
          <w:rFonts w:cs="Arial"/>
          <w:iCs/>
          <w:sz w:val="20"/>
          <w:szCs w:val="20"/>
        </w:rPr>
        <w:t xml:space="preserve"> ser observados os ditames do art. 1º-F, da Lei nº 9.494/97, na redação conferida pela Lei nº 11.960/09, sem prejuízo da incidência do que será decidido pelo STF do RE 870.947/SE, com repercussão geral reconhecida, de modo que a deliberação daquela Corte haverá de refletir neste feito, seja para sua manutenção ou mudança.</w:t>
      </w:r>
    </w:p>
    <w:p w:rsidR="001446BB" w:rsidRPr="002A0E80" w:rsidRDefault="001446BB" w:rsidP="001446BB">
      <w:pPr>
        <w:pStyle w:val="ementa"/>
        <w:spacing w:before="0" w:after="0" w:line="360" w:lineRule="auto"/>
        <w:ind w:firstLine="1134"/>
        <w:rPr>
          <w:rFonts w:cs="Arial"/>
          <w:bCs/>
          <w:sz w:val="20"/>
          <w:szCs w:val="20"/>
        </w:rPr>
      </w:pPr>
      <w:proofErr w:type="gramStart"/>
      <w:r w:rsidRPr="00CE2004">
        <w:rPr>
          <w:rFonts w:cs="Arial"/>
          <w:b/>
          <w:bCs/>
          <w:sz w:val="20"/>
          <w:szCs w:val="20"/>
        </w:rPr>
        <w:lastRenderedPageBreak/>
        <w:t>Isto posto</w:t>
      </w:r>
      <w:proofErr w:type="gramEnd"/>
      <w:r w:rsidRPr="00CE2004">
        <w:rPr>
          <w:rFonts w:cs="Arial"/>
          <w:b/>
          <w:bCs/>
          <w:sz w:val="20"/>
          <w:szCs w:val="20"/>
        </w:rPr>
        <w:t>, dou parcial provimento à Apelação</w:t>
      </w:r>
      <w:r>
        <w:rPr>
          <w:rFonts w:cs="Arial"/>
          <w:b/>
          <w:bCs/>
          <w:sz w:val="20"/>
          <w:szCs w:val="20"/>
        </w:rPr>
        <w:t xml:space="preserve"> e a </w:t>
      </w:r>
      <w:r w:rsidRPr="00CE2004">
        <w:rPr>
          <w:rFonts w:cs="Arial"/>
          <w:b/>
          <w:bCs/>
          <w:sz w:val="20"/>
          <w:szCs w:val="20"/>
        </w:rPr>
        <w:t>Remessa Oficial,</w:t>
      </w:r>
      <w:r>
        <w:rPr>
          <w:rFonts w:cs="Arial"/>
          <w:b/>
          <w:bCs/>
          <w:sz w:val="20"/>
          <w:szCs w:val="20"/>
        </w:rPr>
        <w:t xml:space="preserve"> tida por interposta,</w:t>
      </w:r>
      <w:r w:rsidRPr="00CE2004">
        <w:rPr>
          <w:rFonts w:cs="Arial"/>
          <w:b/>
          <w:bCs/>
          <w:sz w:val="20"/>
          <w:szCs w:val="20"/>
        </w:rPr>
        <w:t xml:space="preserve"> </w:t>
      </w:r>
      <w:r w:rsidRPr="00CE2004">
        <w:rPr>
          <w:rFonts w:cs="Arial"/>
          <w:bCs/>
          <w:sz w:val="20"/>
          <w:szCs w:val="20"/>
        </w:rPr>
        <w:t xml:space="preserve">apenas </w:t>
      </w:r>
      <w:r w:rsidRPr="00CE2004">
        <w:rPr>
          <w:rFonts w:cs="Arial"/>
          <w:sz w:val="20"/>
          <w:szCs w:val="20"/>
        </w:rPr>
        <w:t>para afastar o reconhecimento da especialidade do</w:t>
      </w:r>
      <w:r>
        <w:rPr>
          <w:rFonts w:cs="Arial"/>
          <w:sz w:val="20"/>
          <w:szCs w:val="20"/>
        </w:rPr>
        <w:t>s</w:t>
      </w:r>
      <w:r w:rsidRPr="00CE2004">
        <w:rPr>
          <w:rFonts w:cs="Arial"/>
          <w:sz w:val="20"/>
          <w:szCs w:val="20"/>
        </w:rPr>
        <w:t xml:space="preserve"> período</w:t>
      </w:r>
      <w:r>
        <w:rPr>
          <w:rFonts w:cs="Arial"/>
          <w:sz w:val="20"/>
          <w:szCs w:val="20"/>
        </w:rPr>
        <w:t>s</w:t>
      </w:r>
      <w:r w:rsidRPr="00CE2004">
        <w:rPr>
          <w:rFonts w:cs="Arial"/>
          <w:sz w:val="20"/>
          <w:szCs w:val="20"/>
        </w:rPr>
        <w:t xml:space="preserve"> de </w:t>
      </w:r>
      <w:r w:rsidRPr="004E4212">
        <w:rPr>
          <w:rFonts w:cs="Arial"/>
          <w:sz w:val="20"/>
          <w:szCs w:val="20"/>
          <w:u w:val="single"/>
        </w:rPr>
        <w:t>16/08/1977 a 16/12/1977</w:t>
      </w:r>
      <w:r>
        <w:rPr>
          <w:rFonts w:cs="Arial"/>
          <w:sz w:val="20"/>
          <w:szCs w:val="20"/>
        </w:rPr>
        <w:t xml:space="preserve">; </w:t>
      </w:r>
      <w:r w:rsidRPr="004E4212">
        <w:rPr>
          <w:rFonts w:cs="Arial"/>
          <w:sz w:val="20"/>
          <w:szCs w:val="20"/>
          <w:u w:val="single"/>
        </w:rPr>
        <w:t>18/10/1978 a 10/11/1978</w:t>
      </w:r>
      <w:r>
        <w:rPr>
          <w:rFonts w:cs="Arial"/>
          <w:sz w:val="20"/>
          <w:szCs w:val="20"/>
        </w:rPr>
        <w:t xml:space="preserve"> e </w:t>
      </w:r>
      <w:r w:rsidRPr="004E4212">
        <w:rPr>
          <w:rFonts w:cs="Arial"/>
          <w:sz w:val="20"/>
          <w:szCs w:val="20"/>
          <w:u w:val="single"/>
        </w:rPr>
        <w:t>30/10/2007 a 29/08/2008</w:t>
      </w:r>
      <w:r w:rsidRPr="004E4212">
        <w:rPr>
          <w:rFonts w:cs="Arial"/>
          <w:sz w:val="20"/>
          <w:szCs w:val="20"/>
        </w:rPr>
        <w:t xml:space="preserve"> e</w:t>
      </w:r>
      <w:r>
        <w:rPr>
          <w:rFonts w:cs="Arial"/>
          <w:sz w:val="20"/>
          <w:szCs w:val="20"/>
        </w:rPr>
        <w:t xml:space="preserve"> </w:t>
      </w:r>
      <w:r w:rsidRPr="002A0E80">
        <w:rPr>
          <w:rFonts w:cs="Arial"/>
          <w:bCs/>
          <w:sz w:val="20"/>
          <w:szCs w:val="20"/>
        </w:rPr>
        <w:t xml:space="preserve">dar nova disciplina à questão afeta </w:t>
      </w:r>
      <w:r>
        <w:rPr>
          <w:rFonts w:cs="Arial"/>
          <w:bCs/>
          <w:sz w:val="20"/>
          <w:szCs w:val="20"/>
        </w:rPr>
        <w:t xml:space="preserve">aos </w:t>
      </w:r>
      <w:r w:rsidRPr="002A0E80">
        <w:rPr>
          <w:rFonts w:cs="Arial"/>
          <w:bCs/>
          <w:sz w:val="20"/>
          <w:szCs w:val="20"/>
        </w:rPr>
        <w:t>juros de mora e correção monetária, nos termos da fundamentação supra.</w:t>
      </w:r>
    </w:p>
    <w:p w:rsidR="001446BB" w:rsidRPr="00CE2004" w:rsidRDefault="001446BB" w:rsidP="001446BB">
      <w:pPr>
        <w:pStyle w:val="ementa"/>
        <w:spacing w:before="0" w:after="0" w:line="360" w:lineRule="auto"/>
        <w:ind w:firstLine="1134"/>
        <w:rPr>
          <w:rFonts w:cs="Arial"/>
          <w:sz w:val="20"/>
          <w:szCs w:val="20"/>
        </w:rPr>
      </w:pPr>
      <w:r w:rsidRPr="00CE2004">
        <w:rPr>
          <w:rFonts w:cs="Arial"/>
          <w:sz w:val="20"/>
          <w:szCs w:val="20"/>
        </w:rPr>
        <w:t>É como voto.</w:t>
      </w:r>
    </w:p>
    <w:p w:rsidR="001446BB" w:rsidRPr="00CE2004" w:rsidRDefault="001446BB" w:rsidP="001446BB">
      <w:pPr>
        <w:pStyle w:val="Recuodecorpodetexto2"/>
        <w:spacing w:line="360" w:lineRule="auto"/>
        <w:ind w:left="0" w:firstLine="1134"/>
        <w:jc w:val="both"/>
        <w:rPr>
          <w:rFonts w:ascii="Arial" w:hAnsi="Arial" w:cs="Arial"/>
          <w:sz w:val="20"/>
          <w:szCs w:val="20"/>
        </w:rPr>
      </w:pPr>
    </w:p>
    <w:p w:rsidR="001446BB" w:rsidRPr="00CE2004" w:rsidRDefault="001446BB" w:rsidP="001446BB">
      <w:pPr>
        <w:pStyle w:val="Ttulo2"/>
        <w:spacing w:line="360" w:lineRule="auto"/>
        <w:rPr>
          <w:rFonts w:ascii="Arial" w:hAnsi="Arial" w:cs="Arial"/>
          <w:sz w:val="20"/>
        </w:rPr>
      </w:pPr>
      <w:r w:rsidRPr="00CE2004">
        <w:rPr>
          <w:rFonts w:ascii="Arial" w:hAnsi="Arial" w:cs="Arial"/>
          <w:sz w:val="20"/>
        </w:rPr>
        <w:t>Juiz Federal FÁBIO ROGÉRIO FRANÇA SOUZA</w:t>
      </w:r>
    </w:p>
    <w:p w:rsidR="001446BB" w:rsidRDefault="001446BB" w:rsidP="001446BB">
      <w:pPr>
        <w:spacing w:after="120" w:line="360" w:lineRule="auto"/>
        <w:jc w:val="center"/>
        <w:rPr>
          <w:rFonts w:ascii="Arial" w:hAnsi="Arial" w:cs="Arial"/>
          <w:sz w:val="20"/>
          <w:szCs w:val="20"/>
        </w:rPr>
      </w:pPr>
      <w:r w:rsidRPr="00CE2004">
        <w:rPr>
          <w:rFonts w:ascii="Arial" w:hAnsi="Arial" w:cs="Arial"/>
          <w:sz w:val="20"/>
          <w:szCs w:val="20"/>
        </w:rPr>
        <w:t>Relator Convocado</w:t>
      </w:r>
    </w:p>
    <w:p w:rsidR="00A6177A" w:rsidRDefault="00A6177A" w:rsidP="00A6177A">
      <w:pPr>
        <w:pStyle w:val="Identificao"/>
      </w:pPr>
    </w:p>
    <w:sectPr w:rsidR="00A6177A" w:rsidSect="004554A7">
      <w:headerReference w:type="default" r:id="rId7"/>
      <w:footerReference w:type="default" r:id="rId8"/>
      <w:headerReference w:type="first" r:id="rId9"/>
      <w:footerReference w:type="first" r:id="rId10"/>
      <w:pgSz w:w="11907" w:h="16840" w:code="9"/>
      <w:pgMar w:top="850" w:right="850" w:bottom="850" w:left="141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177A" w:rsidRDefault="00A6177A">
      <w:r>
        <w:separator/>
      </w:r>
    </w:p>
  </w:endnote>
  <w:endnote w:type="continuationSeparator" w:id="0">
    <w:p w:rsidR="00A6177A" w:rsidRDefault="00A6177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2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Interleaved 2of5">
    <w:altName w:val="Courier New"/>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pPr>
    <w:r>
      <w:rPr>
        <w:rFonts w:ascii="Arial" w:hAnsi="Arial"/>
        <w:sz w:val="10"/>
      </w:rPr>
      <w:t>TRF 1ª REGIÃO/IMP.15-02-05</w:t>
    </w:r>
    <w:r>
      <w:rPr>
        <w:rFonts w:ascii="Arial" w:hAnsi="Arial"/>
        <w:sz w:val="10"/>
      </w:rPr>
      <w:tab/>
    </w:r>
    <w:r w:rsidR="00247DEA">
      <w:rPr>
        <w:rFonts w:ascii="Arial" w:hAnsi="Arial"/>
        <w:sz w:val="10"/>
      </w:rPr>
      <w:fldChar w:fldCharType="begin"/>
    </w:r>
    <w:r>
      <w:rPr>
        <w:rFonts w:ascii="Arial" w:hAnsi="Arial"/>
        <w:sz w:val="10"/>
      </w:rPr>
      <w:instrText xml:space="preserve"> FILENAME \p </w:instrText>
    </w:r>
    <w:r w:rsidR="00247DEA">
      <w:rPr>
        <w:rFonts w:ascii="Arial" w:hAnsi="Arial"/>
        <w:sz w:val="10"/>
      </w:rPr>
      <w:fldChar w:fldCharType="separate"/>
    </w:r>
    <w:r w:rsidR="00486D0E">
      <w:rPr>
        <w:rFonts w:ascii="Arial" w:hAnsi="Arial"/>
        <w:noProof/>
        <w:sz w:val="10"/>
      </w:rPr>
      <w:t>W:\GABJU\CRP\Votos e Ementas\Sessão 15-08-16\Apo especial\0005707-76.2013.4.01.3314_VOTO_AP INSS PARC PROV_RUÍDO_APENAS DESCONSID ESP_MANTEM APO INTEGRAL_JUROS E CM.docx</w:t>
    </w:r>
    <w:r w:rsidR="00247DEA">
      <w:rPr>
        <w:rFonts w:ascii="Arial" w:hAnsi="Arial"/>
        <w:sz w:val="1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tabs>
        <w:tab w:val="right" w:pos="9360"/>
      </w:tabs>
      <w:rPr>
        <w:rFonts w:ascii="Arial" w:hAnsi="Arial"/>
        <w:sz w:val="13"/>
      </w:rPr>
    </w:pPr>
    <w:r>
      <w:rPr>
        <w:rFonts w:ascii="Arial" w:hAnsi="Arial"/>
        <w:sz w:val="10"/>
      </w:rPr>
      <w:t>TRF 1ª REGIÃO/IMP.15-02-05</w:t>
    </w:r>
    <w:r>
      <w:rPr>
        <w:rFonts w:ascii="Arial" w:hAnsi="Arial"/>
        <w:sz w:val="10"/>
      </w:rPr>
      <w:tab/>
    </w:r>
    <w:r w:rsidR="00247DEA">
      <w:rPr>
        <w:rFonts w:ascii="Arial" w:hAnsi="Arial"/>
        <w:sz w:val="13"/>
      </w:rPr>
      <w:fldChar w:fldCharType="begin"/>
    </w:r>
    <w:r>
      <w:rPr>
        <w:rFonts w:ascii="Arial" w:hAnsi="Arial"/>
        <w:sz w:val="13"/>
      </w:rPr>
      <w:instrText xml:space="preserve"> FILENAME \p </w:instrText>
    </w:r>
    <w:r w:rsidR="00247DEA">
      <w:rPr>
        <w:rFonts w:ascii="Arial" w:hAnsi="Arial"/>
        <w:sz w:val="13"/>
      </w:rPr>
      <w:fldChar w:fldCharType="separate"/>
    </w:r>
    <w:r w:rsidR="00486D0E">
      <w:rPr>
        <w:rFonts w:ascii="Arial" w:hAnsi="Arial"/>
        <w:noProof/>
        <w:sz w:val="13"/>
      </w:rPr>
      <w:t>W:\GABJU\CRP\Votos e Ementas\Sessão 15-08-16\Apo especial\0005707-76.2013.4.01.3314_VOTO_AP INSS PARC PROV_RUÍDO_APENAS DESCONSID ESP_MANTEM APO INTEGRAL_JUROS E CM.docx</w:t>
    </w:r>
    <w:r w:rsidR="00247DEA">
      <w:rPr>
        <w:rFonts w:ascii="Arial" w:hAnsi="Arial"/>
        <w:sz w:val="13"/>
      </w:rPr>
      <w:fldChar w:fldCharType="end"/>
    </w:r>
  </w:p>
  <w:p w:rsidR="00413610" w:rsidRDefault="00413610">
    <w:pPr>
      <w:tabs>
        <w:tab w:val="right" w:pos="9360"/>
      </w:tabs>
      <w:rPr>
        <w:sz w:val="13"/>
      </w:rPr>
    </w:pPr>
    <w:r>
      <w:rPr>
        <w:rFonts w:ascii="Arial" w:hAnsi="Arial"/>
        <w:sz w:val="13"/>
      </w:rPr>
      <w:t xml:space="preserve">Criado por </w:t>
    </w:r>
    <w:r w:rsidR="00247DEA">
      <w:rPr>
        <w:rFonts w:ascii="Arial" w:hAnsi="Arial"/>
        <w:sz w:val="13"/>
      </w:rPr>
      <w:fldChar w:fldCharType="begin"/>
    </w:r>
    <w:r>
      <w:rPr>
        <w:rFonts w:ascii="Arial" w:hAnsi="Arial"/>
        <w:sz w:val="13"/>
      </w:rPr>
      <w:instrText xml:space="preserve"> AUTHOR </w:instrText>
    </w:r>
    <w:r w:rsidR="00247DEA">
      <w:rPr>
        <w:rFonts w:ascii="Arial" w:hAnsi="Arial"/>
        <w:sz w:val="13"/>
      </w:rPr>
      <w:fldChar w:fldCharType="separate"/>
    </w:r>
    <w:r w:rsidR="00486D0E">
      <w:rPr>
        <w:rFonts w:ascii="Arial" w:hAnsi="Arial"/>
        <w:noProof/>
        <w:sz w:val="13"/>
      </w:rPr>
      <w:t>TR300321</w:t>
    </w:r>
    <w:r w:rsidR="00247DEA">
      <w:rPr>
        <w:rFonts w:ascii="Arial" w:hAnsi="Arial"/>
        <w:sz w:val="13"/>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177A" w:rsidRDefault="00A6177A">
      <w:r>
        <w:separator/>
      </w:r>
    </w:p>
  </w:footnote>
  <w:footnote w:type="continuationSeparator" w:id="0">
    <w:p w:rsidR="00A6177A" w:rsidRDefault="00A617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3610" w:rsidRDefault="00413610">
    <w:pPr>
      <w:spacing w:before="120"/>
      <w:rPr>
        <w:rFonts w:ascii="Arial" w:hAnsi="Arial"/>
        <w:sz w:val="16"/>
      </w:rPr>
    </w:pPr>
    <w:r>
      <w:rPr>
        <w:rFonts w:ascii="Arial" w:hAnsi="Arial"/>
        <w:sz w:val="16"/>
      </w:rPr>
      <w:t>PODER JUDICIÁRIO</w:t>
    </w:r>
  </w:p>
  <w:p w:rsidR="00413610" w:rsidRDefault="00413610">
    <w:pPr>
      <w:tabs>
        <w:tab w:val="right" w:pos="9540"/>
      </w:tabs>
      <w:spacing w:after="120"/>
      <w:rPr>
        <w:rFonts w:ascii="Arial" w:hAnsi="Arial" w:cs="Arial"/>
        <w:bCs/>
        <w:sz w:val="16"/>
      </w:rPr>
    </w:pPr>
    <w:r>
      <w:rPr>
        <w:rFonts w:ascii="Arial" w:hAnsi="Arial"/>
        <w:b/>
        <w:sz w:val="20"/>
      </w:rPr>
      <w:t>TRIBUNAL REGIONAL FEDERAL DA PRIMEIRA REGIÃO</w:t>
    </w:r>
    <w:r>
      <w:rPr>
        <w:rFonts w:ascii="Arial" w:hAnsi="Arial"/>
        <w:b/>
        <w:sz w:val="20"/>
      </w:rPr>
      <w:tab/>
    </w:r>
    <w:r>
      <w:rPr>
        <w:rFonts w:ascii="Arial" w:hAnsi="Arial" w:cs="Arial"/>
        <w:bCs/>
        <w:sz w:val="16"/>
      </w:rPr>
      <w:t>fls.</w:t>
    </w:r>
    <w:r w:rsidR="00247DEA">
      <w:rPr>
        <w:rFonts w:ascii="Arial" w:hAnsi="Arial" w:cs="Arial"/>
        <w:bCs/>
        <w:sz w:val="16"/>
      </w:rPr>
      <w:fldChar w:fldCharType="begin"/>
    </w:r>
    <w:r>
      <w:rPr>
        <w:rFonts w:ascii="Arial" w:hAnsi="Arial" w:cs="Arial"/>
        <w:bCs/>
        <w:sz w:val="16"/>
      </w:rPr>
      <w:instrText xml:space="preserve"> PAGE </w:instrText>
    </w:r>
    <w:r w:rsidR="00247DEA">
      <w:rPr>
        <w:rFonts w:ascii="Arial" w:hAnsi="Arial" w:cs="Arial"/>
        <w:bCs/>
        <w:sz w:val="16"/>
      </w:rPr>
      <w:fldChar w:fldCharType="separate"/>
    </w:r>
    <w:r w:rsidR="00486D0E">
      <w:rPr>
        <w:rFonts w:ascii="Arial" w:hAnsi="Arial" w:cs="Arial"/>
        <w:bCs/>
        <w:noProof/>
        <w:sz w:val="16"/>
      </w:rPr>
      <w:t>5</w:t>
    </w:r>
    <w:r w:rsidR="00247DEA">
      <w:rPr>
        <w:rFonts w:ascii="Arial" w:hAnsi="Arial" w:cs="Arial"/>
        <w:bCs/>
        <w:sz w:val="16"/>
      </w:rPr>
      <w:fldChar w:fldCharType="end"/>
    </w:r>
    <w:r>
      <w:rPr>
        <w:rFonts w:ascii="Arial" w:hAnsi="Arial" w:cs="Arial"/>
        <w:bCs/>
        <w:sz w:val="16"/>
      </w:rPr>
      <w:t>/</w:t>
    </w:r>
    <w:r w:rsidR="00247DEA">
      <w:rPr>
        <w:rFonts w:ascii="Arial" w:hAnsi="Arial" w:cs="Arial"/>
        <w:bCs/>
        <w:sz w:val="16"/>
      </w:rPr>
      <w:fldChar w:fldCharType="begin"/>
    </w:r>
    <w:r>
      <w:rPr>
        <w:rFonts w:ascii="Arial" w:hAnsi="Arial" w:cs="Arial"/>
        <w:bCs/>
        <w:sz w:val="16"/>
      </w:rPr>
      <w:instrText xml:space="preserve"> NUMPAGES </w:instrText>
    </w:r>
    <w:r w:rsidR="00247DEA">
      <w:rPr>
        <w:rFonts w:ascii="Arial" w:hAnsi="Arial" w:cs="Arial"/>
        <w:bCs/>
        <w:sz w:val="16"/>
      </w:rPr>
      <w:fldChar w:fldCharType="separate"/>
    </w:r>
    <w:r w:rsidR="00486D0E">
      <w:rPr>
        <w:rFonts w:ascii="Arial" w:hAnsi="Arial" w:cs="Arial"/>
        <w:bCs/>
        <w:noProof/>
        <w:sz w:val="16"/>
      </w:rPr>
      <w:t>5</w:t>
    </w:r>
    <w:r w:rsidR="00247DEA">
      <w:rPr>
        <w:rFonts w:ascii="Arial" w:hAnsi="Arial" w:cs="Arial"/>
        <w:bCs/>
        <w:sz w:val="16"/>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0" w:type="dxa"/>
      <w:tblLayout w:type="fixed"/>
      <w:tblCellMar>
        <w:left w:w="70" w:type="dxa"/>
        <w:right w:w="70" w:type="dxa"/>
      </w:tblCellMar>
      <w:tblLook w:val="0000"/>
    </w:tblPr>
    <w:tblGrid>
      <w:gridCol w:w="9900"/>
    </w:tblGrid>
    <w:tr w:rsidR="00A6177A" w:rsidRPr="00A6177A" w:rsidTr="00B0613E">
      <w:tc>
        <w:tcPr>
          <w:tcW w:w="2000" w:type="dxa"/>
          <w:shd w:val="clear" w:color="auto" w:fill="auto"/>
        </w:tcPr>
        <w:p w:rsidR="00A6177A" w:rsidRPr="00A6177A" w:rsidRDefault="00A6177A" w:rsidP="00A6177A">
          <w:pPr>
            <w:jc w:val="right"/>
            <w:rPr>
              <w:rFonts w:ascii="Interleaved 2of5" w:hAnsi="Interleaved 2of5"/>
              <w:sz w:val="48"/>
            </w:rPr>
          </w:pPr>
        </w:p>
        <w:p w:rsidR="00A6177A" w:rsidRPr="00A6177A" w:rsidRDefault="00A6177A" w:rsidP="00B0613E">
          <w:pPr>
            <w:rPr>
              <w:rFonts w:ascii="Interleaved 2of5" w:hAnsi="Interleaved 2of5"/>
              <w:sz w:val="48"/>
            </w:rPr>
          </w:pPr>
        </w:p>
      </w:tc>
    </w:tr>
  </w:tbl>
  <w:p w:rsidR="00A6177A" w:rsidRDefault="00A6177A" w:rsidP="00A6177A">
    <w:pPr>
      <w:spacing w:before="120"/>
      <w:rPr>
        <w:rFonts w:ascii="Arial" w:hAnsi="Arial"/>
        <w:sz w:val="16"/>
      </w:rPr>
    </w:pPr>
  </w:p>
  <w:p w:rsidR="004554A7" w:rsidRDefault="00A6177A" w:rsidP="004554A7">
    <w:pPr>
      <w:spacing w:before="120"/>
      <w:jc w:val="center"/>
      <w:rPr>
        <w:rFonts w:ascii="Arial" w:hAnsi="Arial"/>
        <w:sz w:val="16"/>
      </w:rPr>
    </w:pPr>
    <w:r>
      <w:rPr>
        <w:rFonts w:ascii="Arial" w:hAnsi="Arial"/>
        <w:noProof/>
        <w:sz w:val="16"/>
      </w:rPr>
      <w:drawing>
        <wp:inline distT="0" distB="0" distL="0" distR="0">
          <wp:extent cx="762000" cy="800100"/>
          <wp:effectExtent l="19050" t="0" r="0" b="0"/>
          <wp:docPr id="1" name="Imagem 1" descr="brasao_do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doc"/>
                  <pic:cNvPicPr>
                    <a:picLocks noChangeAspect="1" noChangeArrowheads="1"/>
                  </pic:cNvPicPr>
                </pic:nvPicPr>
                <pic:blipFill>
                  <a:blip r:embed="rId1"/>
                  <a:srcRect/>
                  <a:stretch>
                    <a:fillRect/>
                  </a:stretch>
                </pic:blipFill>
                <pic:spPr bwMode="auto">
                  <a:xfrm>
                    <a:off x="0" y="0"/>
                    <a:ext cx="762000" cy="800100"/>
                  </a:xfrm>
                  <a:prstGeom prst="rect">
                    <a:avLst/>
                  </a:prstGeom>
                  <a:noFill/>
                  <a:ln w="9525">
                    <a:noFill/>
                    <a:miter lim="800000"/>
                    <a:headEnd/>
                    <a:tailEnd/>
                  </a:ln>
                </pic:spPr>
              </pic:pic>
            </a:graphicData>
          </a:graphic>
        </wp:inline>
      </w:drawing>
    </w:r>
  </w:p>
  <w:p w:rsidR="00413610" w:rsidRDefault="00413610" w:rsidP="004554A7">
    <w:pPr>
      <w:spacing w:before="120"/>
      <w:jc w:val="center"/>
      <w:rPr>
        <w:rFonts w:ascii="Arial" w:hAnsi="Arial"/>
        <w:sz w:val="16"/>
      </w:rPr>
    </w:pPr>
    <w:r>
      <w:rPr>
        <w:rFonts w:ascii="Arial" w:hAnsi="Arial"/>
        <w:sz w:val="16"/>
      </w:rPr>
      <w:t>PODER JUDICIÁRIO</w:t>
    </w:r>
  </w:p>
  <w:p w:rsidR="00413610" w:rsidRDefault="00413610" w:rsidP="004554A7">
    <w:pPr>
      <w:jc w:val="center"/>
    </w:pPr>
    <w:r>
      <w:rPr>
        <w:rFonts w:ascii="Arial" w:hAnsi="Arial"/>
        <w:b/>
        <w:sz w:val="20"/>
      </w:rPr>
      <w:t>TRIBUNAL REGIONAL FEDERAL DA PRIMEIRA REGIÃO</w:t>
    </w:r>
    <w:r>
      <w:rPr>
        <w:rFonts w:ascii="Arial" w:hAnsi="Arial"/>
        <w:b/>
        <w:sz w:val="20"/>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C66DAC"/>
    <w:multiLevelType w:val="hybridMultilevel"/>
    <w:tmpl w:val="CAEEAB38"/>
    <w:lvl w:ilvl="0" w:tplc="1CB0F4D0">
      <w:start w:val="1"/>
      <w:numFmt w:val="bullet"/>
      <w:lvlText w:val=""/>
      <w:lvlJc w:val="left"/>
      <w:pPr>
        <w:tabs>
          <w:tab w:val="num" w:pos="927"/>
        </w:tabs>
        <w:ind w:left="927" w:hanging="360"/>
      </w:pPr>
      <w:rPr>
        <w:rFonts w:ascii="Symbol" w:hAnsi="Symbol" w:hint="default"/>
        <w:color w:val="auto"/>
      </w:rPr>
    </w:lvl>
    <w:lvl w:ilvl="1" w:tplc="04160003">
      <w:start w:val="1"/>
      <w:numFmt w:val="bullet"/>
      <w:lvlText w:val="o"/>
      <w:lvlJc w:val="left"/>
      <w:pPr>
        <w:tabs>
          <w:tab w:val="num" w:pos="1440"/>
        </w:tabs>
        <w:ind w:left="1440" w:hanging="360"/>
      </w:pPr>
      <w:rPr>
        <w:rFonts w:ascii="Courier New" w:hAnsi="Courier New" w:hint="default"/>
      </w:rPr>
    </w:lvl>
    <w:lvl w:ilvl="2" w:tplc="024A3448">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nsid w:val="25EB4F8E"/>
    <w:multiLevelType w:val="hybridMultilevel"/>
    <w:tmpl w:val="C3E6D79C"/>
    <w:lvl w:ilvl="0" w:tplc="47D29EBA">
      <w:start w:val="1"/>
      <w:numFmt w:val="lowerLetter"/>
      <w:lvlText w:val="%1)"/>
      <w:lvlJc w:val="left"/>
      <w:pPr>
        <w:tabs>
          <w:tab w:val="num" w:pos="1500"/>
        </w:tabs>
        <w:ind w:left="1500" w:hanging="360"/>
      </w:pPr>
      <w:rPr>
        <w:rFonts w:hint="default"/>
      </w:rPr>
    </w:lvl>
    <w:lvl w:ilvl="1" w:tplc="04160019" w:tentative="1">
      <w:start w:val="1"/>
      <w:numFmt w:val="lowerLetter"/>
      <w:lvlText w:val="%2."/>
      <w:lvlJc w:val="left"/>
      <w:pPr>
        <w:tabs>
          <w:tab w:val="num" w:pos="2220"/>
        </w:tabs>
        <w:ind w:left="2220" w:hanging="360"/>
      </w:pPr>
    </w:lvl>
    <w:lvl w:ilvl="2" w:tplc="0416001B" w:tentative="1">
      <w:start w:val="1"/>
      <w:numFmt w:val="lowerRoman"/>
      <w:lvlText w:val="%3."/>
      <w:lvlJc w:val="right"/>
      <w:pPr>
        <w:tabs>
          <w:tab w:val="num" w:pos="2940"/>
        </w:tabs>
        <w:ind w:left="2940" w:hanging="180"/>
      </w:pPr>
    </w:lvl>
    <w:lvl w:ilvl="3" w:tplc="0416000F" w:tentative="1">
      <w:start w:val="1"/>
      <w:numFmt w:val="decimal"/>
      <w:lvlText w:val="%4."/>
      <w:lvlJc w:val="left"/>
      <w:pPr>
        <w:tabs>
          <w:tab w:val="num" w:pos="3660"/>
        </w:tabs>
        <w:ind w:left="3660" w:hanging="360"/>
      </w:pPr>
    </w:lvl>
    <w:lvl w:ilvl="4" w:tplc="04160019" w:tentative="1">
      <w:start w:val="1"/>
      <w:numFmt w:val="lowerLetter"/>
      <w:lvlText w:val="%5."/>
      <w:lvlJc w:val="left"/>
      <w:pPr>
        <w:tabs>
          <w:tab w:val="num" w:pos="4380"/>
        </w:tabs>
        <w:ind w:left="4380" w:hanging="360"/>
      </w:pPr>
    </w:lvl>
    <w:lvl w:ilvl="5" w:tplc="0416001B" w:tentative="1">
      <w:start w:val="1"/>
      <w:numFmt w:val="lowerRoman"/>
      <w:lvlText w:val="%6."/>
      <w:lvlJc w:val="right"/>
      <w:pPr>
        <w:tabs>
          <w:tab w:val="num" w:pos="5100"/>
        </w:tabs>
        <w:ind w:left="5100" w:hanging="180"/>
      </w:pPr>
    </w:lvl>
    <w:lvl w:ilvl="6" w:tplc="0416000F" w:tentative="1">
      <w:start w:val="1"/>
      <w:numFmt w:val="decimal"/>
      <w:lvlText w:val="%7."/>
      <w:lvlJc w:val="left"/>
      <w:pPr>
        <w:tabs>
          <w:tab w:val="num" w:pos="5820"/>
        </w:tabs>
        <w:ind w:left="5820" w:hanging="360"/>
      </w:pPr>
    </w:lvl>
    <w:lvl w:ilvl="7" w:tplc="04160019" w:tentative="1">
      <w:start w:val="1"/>
      <w:numFmt w:val="lowerLetter"/>
      <w:lvlText w:val="%8."/>
      <w:lvlJc w:val="left"/>
      <w:pPr>
        <w:tabs>
          <w:tab w:val="num" w:pos="6540"/>
        </w:tabs>
        <w:ind w:left="6540" w:hanging="360"/>
      </w:pPr>
    </w:lvl>
    <w:lvl w:ilvl="8" w:tplc="0416001B" w:tentative="1">
      <w:start w:val="1"/>
      <w:numFmt w:val="lowerRoman"/>
      <w:lvlText w:val="%9."/>
      <w:lvlJc w:val="right"/>
      <w:pPr>
        <w:tabs>
          <w:tab w:val="num" w:pos="7260"/>
        </w:tabs>
        <w:ind w:left="7260" w:hanging="180"/>
      </w:pPr>
    </w:lvl>
  </w:abstractNum>
  <w:abstractNum w:abstractNumId="2">
    <w:nsid w:val="2A262624"/>
    <w:multiLevelType w:val="multilevel"/>
    <w:tmpl w:val="78EEB8B6"/>
    <w:lvl w:ilvl="0">
      <w:start w:val="1"/>
      <w:numFmt w:val="bullet"/>
      <w:lvlText w:val=""/>
      <w:lvlJc w:val="left"/>
      <w:pPr>
        <w:tabs>
          <w:tab w:val="num" w:pos="567"/>
        </w:tabs>
        <w:ind w:left="567" w:hanging="397"/>
      </w:pPr>
      <w:rPr>
        <w:rFonts w:ascii="Wingdings" w:hAnsi="Wingdings" w:hint="default"/>
      </w:rPr>
    </w:lvl>
    <w:lvl w:ilvl="1">
      <w:start w:val="1"/>
      <w:numFmt w:val="bullet"/>
      <w:lvlText w:val=""/>
      <w:lvlJc w:val="left"/>
      <w:pPr>
        <w:tabs>
          <w:tab w:val="num" w:pos="1211"/>
        </w:tabs>
        <w:ind w:left="1134" w:hanging="283"/>
      </w:pPr>
      <w:rPr>
        <w:rFonts w:ascii="Wingdings" w:hAnsi="Wingdings" w:hint="default"/>
      </w:rPr>
    </w:lvl>
    <w:lvl w:ilvl="2">
      <w:start w:val="1"/>
      <w:numFmt w:val="bullet"/>
      <w:lvlText w:val=""/>
      <w:lvlJc w:val="left"/>
      <w:pPr>
        <w:tabs>
          <w:tab w:val="num" w:pos="2061"/>
        </w:tabs>
        <w:ind w:left="1928" w:hanging="227"/>
      </w:pPr>
      <w:rPr>
        <w:rFonts w:ascii="Wingdings" w:hAnsi="Wingdings" w:hint="default"/>
      </w:rPr>
    </w:lvl>
    <w:lvl w:ilvl="3">
      <w:start w:val="1"/>
      <w:numFmt w:val="bullet"/>
      <w:lvlText w:val=""/>
      <w:lvlJc w:val="left"/>
      <w:pPr>
        <w:tabs>
          <w:tab w:val="num" w:pos="3195"/>
        </w:tabs>
        <w:ind w:left="3119" w:hanging="284"/>
      </w:pPr>
      <w:rPr>
        <w:rFonts w:ascii="Symbol" w:hAnsi="Symbol" w:hint="default"/>
      </w:rPr>
    </w:lvl>
    <w:lvl w:ilvl="4">
      <w:start w:val="1"/>
      <w:numFmt w:val="bullet"/>
      <w:lvlText w:val=""/>
      <w:lvlJc w:val="left"/>
      <w:pPr>
        <w:tabs>
          <w:tab w:val="num" w:pos="4139"/>
        </w:tabs>
        <w:ind w:left="4139" w:hanging="737"/>
      </w:pPr>
      <w:rPr>
        <w:rFonts w:ascii="Symbol" w:hAnsi="Symbol" w:hint="default"/>
        <w:sz w:val="14"/>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attachedTemplate r:id="rId1"/>
  <w:stylePaneFormatFilter w:val="1801"/>
  <w:defaultTabStop w:val="709"/>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7B4B74"/>
    <w:rsid w:val="000C3292"/>
    <w:rsid w:val="001446BB"/>
    <w:rsid w:val="0015179D"/>
    <w:rsid w:val="00191A8C"/>
    <w:rsid w:val="002331F7"/>
    <w:rsid w:val="00247DEA"/>
    <w:rsid w:val="00413610"/>
    <w:rsid w:val="004269A8"/>
    <w:rsid w:val="004554A7"/>
    <w:rsid w:val="00462716"/>
    <w:rsid w:val="00471CDF"/>
    <w:rsid w:val="00486D0E"/>
    <w:rsid w:val="004C17AC"/>
    <w:rsid w:val="005E20DB"/>
    <w:rsid w:val="006779DE"/>
    <w:rsid w:val="006A4ECE"/>
    <w:rsid w:val="00754662"/>
    <w:rsid w:val="007A7066"/>
    <w:rsid w:val="007B4B74"/>
    <w:rsid w:val="007C3424"/>
    <w:rsid w:val="008713AE"/>
    <w:rsid w:val="00872397"/>
    <w:rsid w:val="008A3D69"/>
    <w:rsid w:val="008A7B60"/>
    <w:rsid w:val="008C4395"/>
    <w:rsid w:val="00960A74"/>
    <w:rsid w:val="0099169E"/>
    <w:rsid w:val="00A6177A"/>
    <w:rsid w:val="00B04CF7"/>
    <w:rsid w:val="00B2152F"/>
    <w:rsid w:val="00B35674"/>
    <w:rsid w:val="00C5492A"/>
    <w:rsid w:val="00D221D6"/>
    <w:rsid w:val="00D41731"/>
    <w:rsid w:val="00DD0AC9"/>
    <w:rsid w:val="00E850E4"/>
    <w:rsid w:val="00EE644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46BB"/>
    <w:rPr>
      <w:rFonts w:eastAsia="Calibri"/>
      <w:sz w:val="24"/>
      <w:szCs w:val="24"/>
    </w:rPr>
  </w:style>
  <w:style w:type="paragraph" w:styleId="Ttulo2">
    <w:name w:val="heading 2"/>
    <w:basedOn w:val="Normal"/>
    <w:next w:val="Normal"/>
    <w:link w:val="Ttulo2Char"/>
    <w:semiHidden/>
    <w:unhideWhenUsed/>
    <w:qFormat/>
    <w:rsid w:val="001446BB"/>
    <w:pPr>
      <w:keepNext/>
      <w:jc w:val="center"/>
      <w:outlineLvl w:val="1"/>
    </w:pPr>
    <w:rPr>
      <w:b/>
      <w:sz w:val="4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Identificao">
    <w:name w:val="Identificação"/>
    <w:basedOn w:val="ementa"/>
    <w:rsid w:val="007B4B74"/>
    <w:pPr>
      <w:spacing w:before="0" w:after="0"/>
    </w:pPr>
  </w:style>
  <w:style w:type="paragraph" w:customStyle="1" w:styleId="ementa">
    <w:name w:val="ementa"/>
    <w:basedOn w:val="Pargrafo"/>
    <w:link w:val="ementaChar"/>
    <w:rsid w:val="002331F7"/>
    <w:pPr>
      <w:ind w:firstLine="0"/>
    </w:pPr>
  </w:style>
  <w:style w:type="paragraph" w:customStyle="1" w:styleId="Pargrafo">
    <w:name w:val="Parágrafo"/>
    <w:basedOn w:val="Normal"/>
    <w:link w:val="PargrafoChar"/>
    <w:rsid w:val="007B4B74"/>
    <w:pPr>
      <w:spacing w:before="120" w:after="120"/>
      <w:ind w:firstLine="1418"/>
      <w:jc w:val="both"/>
    </w:pPr>
    <w:rPr>
      <w:rFonts w:ascii="Arial" w:eastAsia="Times New Roman" w:hAnsi="Arial"/>
      <w:sz w:val="22"/>
    </w:rPr>
  </w:style>
  <w:style w:type="paragraph" w:customStyle="1" w:styleId="centralizar">
    <w:name w:val="centralizar"/>
    <w:basedOn w:val="Pargrafo"/>
    <w:next w:val="Pargrafo"/>
    <w:rsid w:val="007B4B74"/>
    <w:pPr>
      <w:spacing w:before="360" w:after="360"/>
      <w:ind w:firstLine="0"/>
      <w:jc w:val="center"/>
    </w:pPr>
    <w:rPr>
      <w:b/>
    </w:rPr>
  </w:style>
  <w:style w:type="paragraph" w:customStyle="1" w:styleId="Transcrio">
    <w:name w:val="Transcrição"/>
    <w:basedOn w:val="Pargrafo"/>
    <w:rsid w:val="007B4B74"/>
    <w:pPr>
      <w:spacing w:before="60" w:after="60"/>
      <w:ind w:left="2268" w:firstLine="0"/>
    </w:pPr>
    <w:rPr>
      <w:i/>
    </w:rPr>
  </w:style>
  <w:style w:type="paragraph" w:styleId="Cabealho">
    <w:name w:val="header"/>
    <w:basedOn w:val="Normal"/>
    <w:rsid w:val="002331F7"/>
    <w:pPr>
      <w:tabs>
        <w:tab w:val="center" w:pos="4252"/>
        <w:tab w:val="right" w:pos="8504"/>
      </w:tabs>
    </w:pPr>
    <w:rPr>
      <w:rFonts w:eastAsia="Times New Roman"/>
    </w:rPr>
  </w:style>
  <w:style w:type="paragraph" w:customStyle="1" w:styleId="transcrio2">
    <w:name w:val="transcrição 2"/>
    <w:basedOn w:val="Transcrio"/>
    <w:rsid w:val="007B4B74"/>
    <w:pPr>
      <w:ind w:left="2835"/>
    </w:pPr>
  </w:style>
  <w:style w:type="paragraph" w:customStyle="1" w:styleId="transcrio3">
    <w:name w:val="transcrição 3"/>
    <w:basedOn w:val="Identificao"/>
    <w:rsid w:val="007B4B74"/>
    <w:pPr>
      <w:ind w:left="3686"/>
    </w:pPr>
    <w:rPr>
      <w:i/>
      <w:iCs/>
    </w:rPr>
  </w:style>
  <w:style w:type="paragraph" w:customStyle="1" w:styleId="transcrio4">
    <w:name w:val="transcrição 4"/>
    <w:basedOn w:val="transcrio3"/>
    <w:rsid w:val="007B4B74"/>
    <w:pPr>
      <w:ind w:left="4536"/>
    </w:pPr>
  </w:style>
  <w:style w:type="paragraph" w:customStyle="1" w:styleId="assinatura">
    <w:name w:val="assinatura"/>
    <w:basedOn w:val="Pargrafo"/>
    <w:rsid w:val="007B4B74"/>
    <w:pPr>
      <w:spacing w:before="0" w:after="0"/>
      <w:ind w:firstLine="0"/>
      <w:jc w:val="center"/>
    </w:pPr>
  </w:style>
  <w:style w:type="paragraph" w:customStyle="1" w:styleId="Pargrafo2">
    <w:name w:val="Parágrafo 2"/>
    <w:basedOn w:val="Pargrafo"/>
    <w:rsid w:val="007B4B74"/>
    <w:pPr>
      <w:spacing w:line="480" w:lineRule="auto"/>
    </w:pPr>
  </w:style>
  <w:style w:type="paragraph" w:styleId="Rodap">
    <w:name w:val="footer"/>
    <w:basedOn w:val="Normal"/>
    <w:rsid w:val="002331F7"/>
    <w:pPr>
      <w:tabs>
        <w:tab w:val="center" w:pos="4252"/>
        <w:tab w:val="right" w:pos="8504"/>
      </w:tabs>
    </w:pPr>
    <w:rPr>
      <w:rFonts w:eastAsia="Times New Roman"/>
    </w:rPr>
  </w:style>
  <w:style w:type="paragraph" w:styleId="TextosemFormatao">
    <w:name w:val="Plain Text"/>
    <w:basedOn w:val="Normal"/>
    <w:link w:val="TextosemFormataoChar"/>
    <w:uiPriority w:val="99"/>
    <w:unhideWhenUsed/>
    <w:rsid w:val="00A6177A"/>
    <w:rPr>
      <w:rFonts w:ascii="Consolas" w:eastAsiaTheme="minorHAnsi" w:hAnsi="Consolas" w:cstheme="minorBidi"/>
      <w:sz w:val="21"/>
      <w:szCs w:val="21"/>
      <w:lang w:eastAsia="en-US"/>
    </w:rPr>
  </w:style>
  <w:style w:type="character" w:customStyle="1" w:styleId="TextosemFormataoChar">
    <w:name w:val="Texto sem Formatação Char"/>
    <w:basedOn w:val="Fontepargpadro"/>
    <w:link w:val="TextosemFormatao"/>
    <w:uiPriority w:val="99"/>
    <w:rsid w:val="00A6177A"/>
    <w:rPr>
      <w:rFonts w:ascii="Consolas" w:eastAsiaTheme="minorHAnsi" w:hAnsi="Consolas" w:cstheme="minorBidi"/>
      <w:sz w:val="21"/>
      <w:szCs w:val="21"/>
      <w:lang w:eastAsia="en-US"/>
    </w:rPr>
  </w:style>
  <w:style w:type="paragraph" w:styleId="Textodebalo">
    <w:name w:val="Balloon Text"/>
    <w:basedOn w:val="Normal"/>
    <w:link w:val="TextodebaloChar"/>
    <w:rsid w:val="001446BB"/>
    <w:rPr>
      <w:rFonts w:ascii="Tahoma" w:eastAsia="Times New Roman" w:hAnsi="Tahoma" w:cs="Tahoma"/>
      <w:sz w:val="16"/>
      <w:szCs w:val="16"/>
    </w:rPr>
  </w:style>
  <w:style w:type="character" w:customStyle="1" w:styleId="TextodebaloChar">
    <w:name w:val="Texto de balão Char"/>
    <w:basedOn w:val="Fontepargpadro"/>
    <w:link w:val="Textodebalo"/>
    <w:rsid w:val="001446BB"/>
    <w:rPr>
      <w:rFonts w:ascii="Tahoma" w:hAnsi="Tahoma" w:cs="Tahoma"/>
      <w:sz w:val="16"/>
      <w:szCs w:val="16"/>
    </w:rPr>
  </w:style>
  <w:style w:type="character" w:customStyle="1" w:styleId="Ttulo2Char">
    <w:name w:val="Título 2 Char"/>
    <w:basedOn w:val="Fontepargpadro"/>
    <w:link w:val="Ttulo2"/>
    <w:semiHidden/>
    <w:rsid w:val="001446BB"/>
    <w:rPr>
      <w:rFonts w:eastAsia="Calibri"/>
      <w:b/>
      <w:sz w:val="40"/>
    </w:rPr>
  </w:style>
  <w:style w:type="paragraph" w:styleId="Recuodecorpodetexto2">
    <w:name w:val="Body Text Indent 2"/>
    <w:basedOn w:val="Normal"/>
    <w:link w:val="Recuodecorpodetexto2Char"/>
    <w:unhideWhenUsed/>
    <w:rsid w:val="001446BB"/>
    <w:pPr>
      <w:spacing w:after="120" w:line="480" w:lineRule="auto"/>
      <w:ind w:left="283"/>
    </w:pPr>
  </w:style>
  <w:style w:type="character" w:customStyle="1" w:styleId="Recuodecorpodetexto2Char">
    <w:name w:val="Recuo de corpo de texto 2 Char"/>
    <w:basedOn w:val="Fontepargpadro"/>
    <w:link w:val="Recuodecorpodetexto2"/>
    <w:rsid w:val="001446BB"/>
    <w:rPr>
      <w:rFonts w:eastAsia="Calibri"/>
      <w:sz w:val="24"/>
      <w:szCs w:val="24"/>
    </w:rPr>
  </w:style>
  <w:style w:type="character" w:customStyle="1" w:styleId="ementaChar">
    <w:name w:val="ementa Char"/>
    <w:link w:val="ementa"/>
    <w:locked/>
    <w:rsid w:val="001446BB"/>
    <w:rPr>
      <w:rFonts w:ascii="Arial" w:hAnsi="Arial"/>
      <w:sz w:val="22"/>
      <w:szCs w:val="24"/>
    </w:rPr>
  </w:style>
  <w:style w:type="character" w:customStyle="1" w:styleId="PargrafoChar">
    <w:name w:val="Parágrafo Char"/>
    <w:basedOn w:val="Fontepargpadro"/>
    <w:link w:val="Pargrafo"/>
    <w:locked/>
    <w:rsid w:val="001446BB"/>
    <w:rPr>
      <w:rFonts w:ascii="Arial" w:hAnsi="Arial"/>
      <w:sz w:val="22"/>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srvora2-trf1\Modelos\modelos%20gabinetes\M&#193;SCARA%20PADR&#195;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MÁSCARA PADRÃO</Template>
  <TotalTime>7</TotalTime>
  <Pages>5</Pages>
  <Words>2016</Words>
  <Characters>11043</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lpstr>
    </vt:vector>
  </TitlesOfParts>
  <Company>trf1</Company>
  <LinksUpToDate>false</LinksUpToDate>
  <CharactersWithSpaces>13033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TR300321</dc:creator>
  <cp:lastModifiedBy>ba363803</cp:lastModifiedBy>
  <cp:revision>9</cp:revision>
  <cp:lastPrinted>2016-08-16T20:35:00Z</cp:lastPrinted>
  <dcterms:created xsi:type="dcterms:W3CDTF">2016-07-01T15:03:00Z</dcterms:created>
  <dcterms:modified xsi:type="dcterms:W3CDTF">2016-08-16T20:35:00Z</dcterms:modified>
</cp:coreProperties>
</file>