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77A" w:rsidRPr="00E008CD" w:rsidRDefault="00A6177A" w:rsidP="00A6177A">
      <w:pPr>
        <w:pStyle w:val="Identificao"/>
      </w:pPr>
      <w:r w:rsidRPr="00E008CD">
        <w:t xml:space="preserve">Numeração Única: 57077620134013314 </w:t>
      </w:r>
    </w:p>
    <w:p w:rsidR="00A6177A" w:rsidRPr="00E008CD" w:rsidRDefault="00A6177A" w:rsidP="00A6177A">
      <w:pPr>
        <w:pStyle w:val="Identificao"/>
      </w:pPr>
      <w:r w:rsidRPr="00E008CD">
        <w:t>APELAÇÃO CÍVEL</w:t>
      </w:r>
      <w:proofErr w:type="gramStart"/>
      <w:r w:rsidRPr="00E008CD">
        <w:t xml:space="preserve">  </w:t>
      </w:r>
      <w:proofErr w:type="gramEnd"/>
      <w:r w:rsidRPr="00E008CD">
        <w:t>0005707-76.2013.4.01.3314/BA</w:t>
      </w:r>
    </w:p>
    <w:p w:rsidR="00A6177A" w:rsidRPr="00E008CD" w:rsidRDefault="00A6177A" w:rsidP="00A6177A">
      <w:pPr>
        <w:pStyle w:val="Identificao"/>
      </w:pPr>
      <w:r w:rsidRPr="00E008CD">
        <w:t>Processo na Origem: 57077620134013314</w:t>
      </w:r>
    </w:p>
    <w:p w:rsidR="00A6177A" w:rsidRPr="00E008CD" w:rsidRDefault="00A6177A" w:rsidP="00A6177A">
      <w:pPr>
        <w:pStyle w:val="Identificao"/>
      </w:pPr>
    </w:p>
    <w:p w:rsidR="00A6177A" w:rsidRPr="00E008CD" w:rsidRDefault="00A6177A" w:rsidP="00A6177A">
      <w:pPr>
        <w:pStyle w:val="Identificao"/>
      </w:pPr>
      <w:r w:rsidRPr="00E008CD">
        <w:t>&lt;#&gt;57077620134013314</w:t>
      </w:r>
    </w:p>
    <w:tbl>
      <w:tblPr>
        <w:tblW w:w="9900" w:type="dxa"/>
        <w:tblLayout w:type="fixed"/>
        <w:tblCellMar>
          <w:left w:w="70" w:type="dxa"/>
          <w:right w:w="70" w:type="dxa"/>
        </w:tblCellMar>
        <w:tblLook w:val="0000"/>
      </w:tblPr>
      <w:tblGrid>
        <w:gridCol w:w="2000"/>
        <w:gridCol w:w="300"/>
        <w:gridCol w:w="7600"/>
      </w:tblGrid>
      <w:tr w:rsidR="00A6177A" w:rsidRPr="00A6177A" w:rsidTr="00A6177A">
        <w:tc>
          <w:tcPr>
            <w:tcW w:w="2000" w:type="dxa"/>
            <w:shd w:val="clear" w:color="auto" w:fill="auto"/>
          </w:tcPr>
          <w:p w:rsidR="00A6177A" w:rsidRPr="00A6177A" w:rsidRDefault="00A6177A" w:rsidP="00A6177A">
            <w:pPr>
              <w:pStyle w:val="Identificao"/>
            </w:pPr>
            <w:proofErr w:type="gramStart"/>
            <w:r w:rsidRPr="00A6177A">
              <w:t>RELATOR(</w:t>
            </w:r>
            <w:proofErr w:type="gramEnd"/>
            <w:r w:rsidRPr="00A6177A">
              <w:t>A)</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JUIZ FEDERAL FABIO ROGERIO FRANÇA SOUZA</w:t>
            </w:r>
          </w:p>
        </w:tc>
      </w:tr>
      <w:tr w:rsidR="00A6177A" w:rsidRPr="00A6177A" w:rsidTr="00A6177A">
        <w:tc>
          <w:tcPr>
            <w:tcW w:w="2000" w:type="dxa"/>
            <w:shd w:val="clear" w:color="auto" w:fill="auto"/>
          </w:tcPr>
          <w:p w:rsidR="00A6177A" w:rsidRPr="00A6177A" w:rsidRDefault="00A6177A" w:rsidP="00A6177A">
            <w:pPr>
              <w:pStyle w:val="Identificao"/>
            </w:pPr>
            <w:r w:rsidRPr="00A6177A">
              <w:t>APELANTE</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INSTITUTO NACIONAL DO SEGURO SOCIAL - INSS </w:t>
            </w:r>
          </w:p>
        </w:tc>
      </w:tr>
      <w:tr w:rsidR="00A6177A" w:rsidRPr="00A6177A" w:rsidTr="00A6177A">
        <w:tc>
          <w:tcPr>
            <w:tcW w:w="2000" w:type="dxa"/>
            <w:shd w:val="clear" w:color="auto" w:fill="auto"/>
          </w:tcPr>
          <w:p w:rsidR="00A6177A" w:rsidRPr="00A6177A" w:rsidRDefault="00A6177A" w:rsidP="00A6177A">
            <w:pPr>
              <w:pStyle w:val="Identificao"/>
            </w:pPr>
            <w:r w:rsidRPr="00A6177A">
              <w:t>PROCURADOR</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ADRIANA MAIA VENTURINI </w:t>
            </w:r>
          </w:p>
        </w:tc>
      </w:tr>
      <w:tr w:rsidR="00A6177A" w:rsidRPr="00A6177A" w:rsidTr="00A6177A">
        <w:tc>
          <w:tcPr>
            <w:tcW w:w="2000" w:type="dxa"/>
            <w:shd w:val="clear" w:color="auto" w:fill="auto"/>
          </w:tcPr>
          <w:p w:rsidR="00A6177A" w:rsidRPr="00A6177A" w:rsidRDefault="00A6177A" w:rsidP="00A6177A">
            <w:pPr>
              <w:pStyle w:val="Identificao"/>
            </w:pPr>
            <w:r w:rsidRPr="00A6177A">
              <w:t>APELADO</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DAMAZIO ALBERTO LUCIANO </w:t>
            </w:r>
          </w:p>
        </w:tc>
      </w:tr>
      <w:tr w:rsidR="00A6177A" w:rsidRPr="00A6177A" w:rsidTr="00A6177A">
        <w:tc>
          <w:tcPr>
            <w:tcW w:w="2000" w:type="dxa"/>
            <w:shd w:val="clear" w:color="auto" w:fill="auto"/>
          </w:tcPr>
          <w:p w:rsidR="00A6177A" w:rsidRPr="00A6177A" w:rsidRDefault="00A6177A" w:rsidP="00A6177A">
            <w:pPr>
              <w:rPr>
                <w:rFonts w:ascii="Interleaved 2of5" w:hAnsi="Interleaved 2of5"/>
                <w:sz w:val="48"/>
              </w:rPr>
            </w:pP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BA00010262 - JOAO MARCOS SANCHES GREGORIO </w:t>
            </w:r>
          </w:p>
        </w:tc>
      </w:tr>
    </w:tbl>
    <w:p w:rsidR="001446BB" w:rsidRDefault="001446BB" w:rsidP="001446BB">
      <w:pPr>
        <w:pStyle w:val="Identificao"/>
      </w:pPr>
    </w:p>
    <w:p w:rsidR="00BE7827" w:rsidRPr="00740DBD" w:rsidRDefault="00BE7827" w:rsidP="00BE7827">
      <w:pPr>
        <w:pStyle w:val="Recuodecorpodetexto2"/>
        <w:spacing w:line="240" w:lineRule="auto"/>
        <w:ind w:left="0"/>
        <w:jc w:val="center"/>
        <w:rPr>
          <w:rFonts w:ascii="Arial" w:hAnsi="Arial" w:cs="Arial"/>
          <w:b/>
          <w:sz w:val="20"/>
          <w:szCs w:val="20"/>
        </w:rPr>
      </w:pPr>
      <w:r w:rsidRPr="00740DBD">
        <w:rPr>
          <w:rFonts w:ascii="Arial" w:hAnsi="Arial" w:cs="Arial"/>
          <w:b/>
          <w:sz w:val="20"/>
          <w:szCs w:val="20"/>
        </w:rPr>
        <w:t>EMENTA</w:t>
      </w:r>
    </w:p>
    <w:p w:rsidR="00BE7827" w:rsidRPr="00740DBD" w:rsidRDefault="00BE7827" w:rsidP="00BE7827">
      <w:pPr>
        <w:jc w:val="both"/>
        <w:rPr>
          <w:rFonts w:ascii="Arial" w:hAnsi="Arial" w:cs="Arial"/>
          <w:b/>
          <w:sz w:val="20"/>
          <w:szCs w:val="20"/>
        </w:rPr>
      </w:pPr>
      <w:r w:rsidRPr="00740DBD">
        <w:rPr>
          <w:rFonts w:ascii="Arial" w:hAnsi="Arial" w:cs="Arial"/>
          <w:b/>
          <w:sz w:val="20"/>
          <w:szCs w:val="20"/>
        </w:rPr>
        <w:t>PREVIDENCIÁRIO. APOSENTADORIA ESPECIAL. RUÍDO. EXPOSIÇÃO ACIMA DOS LIMITES DE TOLERÂNCIA. EPI EFICAZ. IRRELEVÃNCIA.</w:t>
      </w:r>
      <w:r>
        <w:rPr>
          <w:rFonts w:ascii="Arial" w:hAnsi="Arial" w:cs="Arial"/>
          <w:b/>
          <w:sz w:val="20"/>
          <w:szCs w:val="20"/>
        </w:rPr>
        <w:t xml:space="preserve"> </w:t>
      </w:r>
    </w:p>
    <w:p w:rsidR="00841C98" w:rsidRPr="007F66F7" w:rsidRDefault="00BE7827" w:rsidP="00841C98">
      <w:pPr>
        <w:pStyle w:val="Pargrafo"/>
        <w:spacing w:before="0" w:after="0"/>
        <w:ind w:firstLine="0"/>
        <w:rPr>
          <w:rFonts w:cs="Arial"/>
          <w:sz w:val="20"/>
          <w:szCs w:val="20"/>
        </w:rPr>
      </w:pPr>
      <w:r w:rsidRPr="00740DBD">
        <w:rPr>
          <w:rFonts w:cs="Arial"/>
          <w:b/>
          <w:sz w:val="20"/>
          <w:szCs w:val="20"/>
        </w:rPr>
        <w:t>1</w:t>
      </w:r>
      <w:r w:rsidRPr="00740DBD">
        <w:rPr>
          <w:rFonts w:cs="Arial"/>
          <w:sz w:val="20"/>
          <w:szCs w:val="20"/>
        </w:rPr>
        <w:t xml:space="preserve">. </w:t>
      </w:r>
      <w:r w:rsidR="00841C98" w:rsidRPr="007F66F7">
        <w:rPr>
          <w:rFonts w:cs="Arial"/>
          <w:sz w:val="20"/>
          <w:szCs w:val="20"/>
        </w:rPr>
        <w:t xml:space="preserve">Como se trata de sentença de procedência em desfavor de Autarquia, seria de rigor a sua sujeição ao duplo grau obrigatório, na forma do Art. 475 do CPC/73, vigente à época, o que, malgrado não tenha sido observado pelo MM Juízo </w:t>
      </w:r>
      <w:r w:rsidR="00841C98" w:rsidRPr="007F66F7">
        <w:rPr>
          <w:rFonts w:cs="Arial"/>
          <w:i/>
          <w:sz w:val="20"/>
          <w:szCs w:val="20"/>
        </w:rPr>
        <w:t xml:space="preserve">a </w:t>
      </w:r>
      <w:proofErr w:type="spellStart"/>
      <w:r w:rsidR="00841C98" w:rsidRPr="007F66F7">
        <w:rPr>
          <w:rFonts w:cs="Arial"/>
          <w:i/>
          <w:sz w:val="20"/>
          <w:szCs w:val="20"/>
        </w:rPr>
        <w:t>quo</w:t>
      </w:r>
      <w:proofErr w:type="spellEnd"/>
      <w:r w:rsidR="00841C98" w:rsidRPr="007F66F7">
        <w:rPr>
          <w:rFonts w:cs="Arial"/>
          <w:sz w:val="20"/>
          <w:szCs w:val="20"/>
        </w:rPr>
        <w:t>, não afasta a imperiosidade de se empreender o reexame necessário. Remessa Oficial tida por interposta.</w:t>
      </w:r>
    </w:p>
    <w:p w:rsidR="00841C98" w:rsidRPr="00EF1CFB" w:rsidRDefault="00841C98" w:rsidP="00841C98">
      <w:pPr>
        <w:pStyle w:val="Recuodecorpodetexto2"/>
        <w:spacing w:after="0" w:line="240" w:lineRule="auto"/>
        <w:ind w:left="0"/>
        <w:jc w:val="both"/>
        <w:rPr>
          <w:rFonts w:ascii="Arial" w:eastAsia="MS Mincho" w:hAnsi="Arial" w:cs="Arial"/>
          <w:sz w:val="20"/>
          <w:szCs w:val="20"/>
        </w:rPr>
      </w:pPr>
      <w:r w:rsidRPr="00841C98">
        <w:rPr>
          <w:rFonts w:ascii="Arial" w:eastAsia="MS Mincho" w:hAnsi="Arial" w:cs="Arial"/>
          <w:b/>
          <w:sz w:val="20"/>
          <w:szCs w:val="20"/>
        </w:rPr>
        <w:t>2</w:t>
      </w:r>
      <w:r>
        <w:rPr>
          <w:rFonts w:ascii="Arial" w:eastAsia="MS Mincho" w:hAnsi="Arial" w:cs="Arial"/>
          <w:sz w:val="20"/>
          <w:szCs w:val="20"/>
        </w:rPr>
        <w:t xml:space="preserve">. </w:t>
      </w:r>
      <w:r w:rsidRPr="00EF1CFB">
        <w:rPr>
          <w:rFonts w:ascii="Arial" w:eastAsia="MS Mincho" w:hAnsi="Arial" w:cs="Arial"/>
          <w:sz w:val="20"/>
          <w:szCs w:val="20"/>
        </w:rPr>
        <w:t xml:space="preserve">O pleito de atribuição de efeito suspensivo à apelação do INSS que não merece acolhimento, pois o </w:t>
      </w:r>
      <w:r>
        <w:rPr>
          <w:rFonts w:ascii="Arial" w:eastAsia="MS Mincho" w:hAnsi="Arial" w:cs="Arial"/>
          <w:sz w:val="20"/>
          <w:szCs w:val="20"/>
        </w:rPr>
        <w:t>CPC/73, vigente á época da prolação da Sentença</w:t>
      </w:r>
      <w:r w:rsidRPr="00EF1CFB">
        <w:rPr>
          <w:rFonts w:ascii="Arial" w:eastAsia="MS Mincho" w:hAnsi="Arial" w:cs="Arial"/>
          <w:sz w:val="20"/>
          <w:szCs w:val="20"/>
        </w:rPr>
        <w:t>, em seu artigo 520, inciso VII estabelece que, em se tratando de sentença na qual restou confirmado o deferimento do pedido de antecipação da tutela, a apelação interposta deve ser recebida, tão somente, no efeito devolutivo. Além disso, não ficou demonstrado risco de lesão grave e de difícil reparação, tampouco fundamentação relevante para justificar a concessão de efeito suspensivo em caráter excepcional.</w:t>
      </w:r>
    </w:p>
    <w:p w:rsidR="00841C98" w:rsidRPr="00EF1CFB" w:rsidRDefault="00841C98" w:rsidP="00841C98">
      <w:pPr>
        <w:pStyle w:val="Recuodecorpodetexto2"/>
        <w:spacing w:after="0" w:line="240" w:lineRule="auto"/>
        <w:ind w:left="0"/>
        <w:jc w:val="both"/>
        <w:rPr>
          <w:rFonts w:ascii="Arial" w:hAnsi="Arial" w:cs="Arial"/>
          <w:sz w:val="20"/>
          <w:szCs w:val="20"/>
        </w:rPr>
      </w:pPr>
      <w:r>
        <w:rPr>
          <w:rFonts w:ascii="Arial" w:hAnsi="Arial" w:cs="Arial"/>
          <w:b/>
          <w:sz w:val="20"/>
          <w:szCs w:val="20"/>
        </w:rPr>
        <w:t>3</w:t>
      </w:r>
      <w:r w:rsidRPr="00EF1CFB">
        <w:rPr>
          <w:rFonts w:ascii="Arial" w:hAnsi="Arial" w:cs="Arial"/>
          <w:b/>
          <w:sz w:val="20"/>
          <w:szCs w:val="20"/>
        </w:rPr>
        <w:t>.</w:t>
      </w:r>
      <w:r w:rsidRPr="00EF1CFB">
        <w:rPr>
          <w:rFonts w:ascii="Arial" w:hAnsi="Arial" w:cs="Arial"/>
          <w:sz w:val="20"/>
          <w:szCs w:val="20"/>
        </w:rPr>
        <w:t xml:space="preserve"> </w:t>
      </w:r>
      <w:r w:rsidRPr="00EF1CFB">
        <w:rPr>
          <w:rFonts w:ascii="Arial" w:eastAsia="MS Mincho" w:hAnsi="Arial" w:cs="Arial"/>
          <w:sz w:val="20"/>
          <w:szCs w:val="20"/>
        </w:rPr>
        <w:t>A</w:t>
      </w:r>
      <w:r w:rsidRPr="00EF1CFB">
        <w:rPr>
          <w:rFonts w:ascii="Arial" w:hAnsi="Arial" w:cs="Arial"/>
          <w:sz w:val="20"/>
          <w:szCs w:val="20"/>
        </w:rPr>
        <w:t xml:space="preserve"> antecipação de tutela deve ser mantida, na medida em que o julgamento do mérito, lastreado na prova dos autos, torna inconteste a presença do requisito da verossimilhança das alegações da parte autora, sendo indiscutível o </w:t>
      </w:r>
      <w:proofErr w:type="spellStart"/>
      <w:r w:rsidRPr="00EF1CFB">
        <w:rPr>
          <w:rFonts w:ascii="Arial" w:hAnsi="Arial" w:cs="Arial"/>
          <w:i/>
          <w:sz w:val="20"/>
          <w:szCs w:val="20"/>
        </w:rPr>
        <w:t>periculum</w:t>
      </w:r>
      <w:proofErr w:type="spellEnd"/>
      <w:r w:rsidRPr="00EF1CFB">
        <w:rPr>
          <w:rFonts w:ascii="Arial" w:hAnsi="Arial" w:cs="Arial"/>
          <w:i/>
          <w:sz w:val="20"/>
          <w:szCs w:val="20"/>
        </w:rPr>
        <w:t xml:space="preserve"> in mora</w:t>
      </w:r>
      <w:r w:rsidRPr="00EF1CFB">
        <w:rPr>
          <w:rFonts w:ascii="Arial" w:hAnsi="Arial" w:cs="Arial"/>
          <w:sz w:val="20"/>
          <w:szCs w:val="20"/>
        </w:rPr>
        <w:t>, que decorre da própria natureza alimentar da verba objeto da ação.</w:t>
      </w:r>
    </w:p>
    <w:p w:rsidR="00BE7827" w:rsidRPr="00740DBD" w:rsidRDefault="00841C98" w:rsidP="00BE7827">
      <w:pPr>
        <w:jc w:val="both"/>
        <w:rPr>
          <w:rFonts w:ascii="Arial" w:hAnsi="Arial" w:cs="Arial"/>
          <w:sz w:val="20"/>
          <w:szCs w:val="20"/>
        </w:rPr>
      </w:pPr>
      <w:proofErr w:type="gramStart"/>
      <w:r w:rsidRPr="00841C98">
        <w:rPr>
          <w:rFonts w:ascii="Arial" w:hAnsi="Arial" w:cs="Arial"/>
          <w:b/>
          <w:sz w:val="20"/>
          <w:szCs w:val="20"/>
        </w:rPr>
        <w:t>4</w:t>
      </w:r>
      <w:r>
        <w:rPr>
          <w:rFonts w:ascii="Arial" w:hAnsi="Arial" w:cs="Arial"/>
          <w:sz w:val="20"/>
          <w:szCs w:val="20"/>
        </w:rPr>
        <w:t>.</w:t>
      </w:r>
      <w:proofErr w:type="gramEnd"/>
      <w:r w:rsidR="00BE7827" w:rsidRPr="00740DBD">
        <w:rPr>
          <w:rFonts w:ascii="Arial" w:hAnsi="Arial" w:cs="Arial"/>
          <w:sz w:val="20"/>
          <w:szCs w:val="20"/>
        </w:rPr>
        <w:t xml:space="preserve">Até o advento da Lei n. 9.032/95, consoante legislação vigente à época da prestação do serviço (Lei n. 3.807/60; </w:t>
      </w:r>
      <w:proofErr w:type="spellStart"/>
      <w:r w:rsidR="00BE7827" w:rsidRPr="00740DBD">
        <w:rPr>
          <w:rFonts w:ascii="Arial" w:hAnsi="Arial" w:cs="Arial"/>
          <w:sz w:val="20"/>
          <w:szCs w:val="20"/>
        </w:rPr>
        <w:t>Decs</w:t>
      </w:r>
      <w:proofErr w:type="spellEnd"/>
      <w:r w:rsidR="00BE7827" w:rsidRPr="00740DBD">
        <w:rPr>
          <w:rFonts w:ascii="Arial" w:hAnsi="Arial" w:cs="Arial"/>
          <w:sz w:val="20"/>
          <w:szCs w:val="20"/>
        </w:rPr>
        <w:t>. n. 53.831/64 e 83.080/79; Lei n. 8.213/91, art. 57, em sua redação original), era possível o enquadramento por atividade profissional elencada nos quadros anexos aos Dec. 53.831 e 83.080, bastando a comprovação do exercício dessa atividade – pois havia uma presunção legal de submissão a agentes nocivos –, ou por agente nocivo também indicado nos mesmos quadros anexos, cuja comprovação demandava preenchimento, pelo empregador, dos formulários SB-40 ou DSS-8030, indicando a qual o agente nocivo estava submetido o segurado. Mas, em ambas as hipóteses, a comprovação da nocividade prescindia de prova pericial, salvo quanto ao agente ruído – para o qual a caracterização como nocivo dependia da averiguação da exposição a um dado limite de decibéis, o que só poderia se dar por avaliação pericial.</w:t>
      </w:r>
    </w:p>
    <w:p w:rsidR="00BE7827" w:rsidRPr="00740DBD" w:rsidRDefault="00841C98" w:rsidP="00BE7827">
      <w:pPr>
        <w:pStyle w:val="Pargrafo"/>
        <w:spacing w:before="0" w:after="0"/>
        <w:ind w:firstLine="0"/>
        <w:rPr>
          <w:rFonts w:cs="Arial"/>
          <w:sz w:val="20"/>
          <w:szCs w:val="20"/>
        </w:rPr>
      </w:pPr>
      <w:r>
        <w:rPr>
          <w:rFonts w:cs="Arial"/>
          <w:b/>
          <w:sz w:val="20"/>
          <w:szCs w:val="20"/>
        </w:rPr>
        <w:t>5</w:t>
      </w:r>
      <w:r w:rsidR="00BE7827" w:rsidRPr="00740DBD">
        <w:rPr>
          <w:rFonts w:cs="Arial"/>
          <w:b/>
          <w:sz w:val="20"/>
          <w:szCs w:val="20"/>
        </w:rPr>
        <w:t>.</w:t>
      </w:r>
      <w:r w:rsidR="00BE7827" w:rsidRPr="00740DBD">
        <w:rPr>
          <w:rFonts w:cs="Arial"/>
          <w:sz w:val="20"/>
          <w:szCs w:val="20"/>
        </w:rPr>
        <w:t xml:space="preserve"> Após a entrada em vigor da Lei n. 9.032/95, que alterou a redação do art. 57 da Lei 8.213, restou afastada a possibilidade de enquadramento por simples exercício de atividade profissional, somente sendo possível, a partir de então, o reconhecimento de um dado tempo de serviço como especial, por submissão aos agentes nocivos, o que continuou a ser comprovado pelos formulários SB-40 ou DSS-8030, sendo desnecessária a prova pericial.</w:t>
      </w:r>
    </w:p>
    <w:p w:rsidR="00BE7827" w:rsidRPr="00740DBD" w:rsidRDefault="00841C98" w:rsidP="00BE7827">
      <w:pPr>
        <w:pStyle w:val="Pargrafo"/>
        <w:spacing w:before="0" w:after="0"/>
        <w:ind w:firstLine="0"/>
        <w:rPr>
          <w:rFonts w:cs="Arial"/>
          <w:sz w:val="20"/>
          <w:szCs w:val="20"/>
        </w:rPr>
      </w:pPr>
      <w:r>
        <w:rPr>
          <w:rFonts w:cs="Arial"/>
          <w:b/>
          <w:sz w:val="20"/>
          <w:szCs w:val="20"/>
        </w:rPr>
        <w:t>6</w:t>
      </w:r>
      <w:r w:rsidR="00BE7827" w:rsidRPr="00740DBD">
        <w:rPr>
          <w:rFonts w:cs="Arial"/>
          <w:b/>
          <w:sz w:val="20"/>
          <w:szCs w:val="20"/>
        </w:rPr>
        <w:t>.</w:t>
      </w:r>
      <w:r w:rsidR="00BE7827" w:rsidRPr="00740DBD">
        <w:rPr>
          <w:rFonts w:cs="Arial"/>
          <w:sz w:val="20"/>
          <w:szCs w:val="20"/>
        </w:rPr>
        <w:t xml:space="preserve"> A partir de 05/03/1997, com a entrada em vigor do Dec. n. 2.172/97, que regulamentou o § 1º, do art. 58, da Lei de Benefícios – introduzido pela Med. Prov. n. 1.523/96 –, passou a se exigir, para a comprovação da especialidade do trabalho, o preenchimento dos aludidos formulários com base em prova pericial, consubstanciada em laudo técnico de condições ambientais do trabalho (LTCAT), expedido por médico do trabalho ou engenheiro de segurança do trabalho, atestando a submissão habitual e permanente a agente nocivo, dentre os arrolados pelo mesmo Dec. 2.172 e, posteriormente, pelo Dec. 3.048/99 (STJ, </w:t>
      </w:r>
      <w:proofErr w:type="spellStart"/>
      <w:proofErr w:type="gramStart"/>
      <w:r w:rsidR="00BE7827" w:rsidRPr="00740DBD">
        <w:rPr>
          <w:rFonts w:cs="Arial"/>
          <w:sz w:val="20"/>
          <w:szCs w:val="20"/>
        </w:rPr>
        <w:t>AgREsp</w:t>
      </w:r>
      <w:proofErr w:type="spellEnd"/>
      <w:proofErr w:type="gramEnd"/>
      <w:r w:rsidR="00BE7827" w:rsidRPr="00740DBD">
        <w:rPr>
          <w:rFonts w:cs="Arial"/>
          <w:sz w:val="20"/>
          <w:szCs w:val="20"/>
        </w:rPr>
        <w:t xml:space="preserve"> 493458/RS, DJ de 23.06.2003, p. 425).</w:t>
      </w:r>
    </w:p>
    <w:p w:rsidR="00BE7827" w:rsidRPr="00740DBD" w:rsidRDefault="00841C98" w:rsidP="00BE7827">
      <w:pPr>
        <w:jc w:val="both"/>
        <w:rPr>
          <w:rFonts w:ascii="Arial" w:hAnsi="Arial" w:cs="Arial"/>
          <w:sz w:val="20"/>
          <w:szCs w:val="20"/>
        </w:rPr>
      </w:pPr>
      <w:r>
        <w:rPr>
          <w:rFonts w:ascii="Arial" w:hAnsi="Arial" w:cs="Arial"/>
          <w:b/>
          <w:sz w:val="20"/>
          <w:szCs w:val="20"/>
        </w:rPr>
        <w:lastRenderedPageBreak/>
        <w:t>7</w:t>
      </w:r>
      <w:r w:rsidR="00BE7827" w:rsidRPr="00740DBD">
        <w:rPr>
          <w:rFonts w:ascii="Arial" w:hAnsi="Arial" w:cs="Arial"/>
          <w:sz w:val="20"/>
          <w:szCs w:val="20"/>
        </w:rPr>
        <w:t xml:space="preserve">. Consoante orientação jurisprudencial predominante, sintetizada na Súmula 29 da AGU, a exposição a ruído enseja o reconhecimento da atividade como especial nos seguintes limites: i) </w:t>
      </w:r>
      <w:r w:rsidR="00BE7827" w:rsidRPr="00740DBD">
        <w:rPr>
          <w:rFonts w:ascii="Arial" w:hAnsi="Arial" w:cs="Arial"/>
          <w:sz w:val="20"/>
          <w:szCs w:val="20"/>
          <w:u w:val="single"/>
        </w:rPr>
        <w:t>acima</w:t>
      </w:r>
      <w:r w:rsidR="00BE7827" w:rsidRPr="00740DBD">
        <w:rPr>
          <w:rFonts w:ascii="Arial" w:hAnsi="Arial" w:cs="Arial"/>
          <w:sz w:val="20"/>
          <w:szCs w:val="20"/>
        </w:rPr>
        <w:t xml:space="preserve"> de 80 </w:t>
      </w:r>
      <w:proofErr w:type="gramStart"/>
      <w:r w:rsidR="00BE7827" w:rsidRPr="00740DBD">
        <w:rPr>
          <w:rFonts w:ascii="Arial" w:hAnsi="Arial" w:cs="Arial"/>
          <w:sz w:val="20"/>
          <w:szCs w:val="20"/>
        </w:rPr>
        <w:t>dB</w:t>
      </w:r>
      <w:proofErr w:type="gramEnd"/>
      <w:r w:rsidR="00BE7827" w:rsidRPr="00740DBD">
        <w:rPr>
          <w:rFonts w:ascii="Arial" w:hAnsi="Arial" w:cs="Arial"/>
          <w:sz w:val="20"/>
          <w:szCs w:val="20"/>
        </w:rPr>
        <w:t xml:space="preserve">, para períodos anteriores a 06/03/1997; ii) </w:t>
      </w:r>
      <w:r w:rsidR="00BE7827" w:rsidRPr="00740DBD">
        <w:rPr>
          <w:rFonts w:ascii="Arial" w:hAnsi="Arial" w:cs="Arial"/>
          <w:sz w:val="20"/>
          <w:szCs w:val="20"/>
          <w:u w:val="single"/>
        </w:rPr>
        <w:t>acima</w:t>
      </w:r>
      <w:r w:rsidR="00BE7827" w:rsidRPr="00740DBD">
        <w:rPr>
          <w:rFonts w:ascii="Arial" w:hAnsi="Arial" w:cs="Arial"/>
          <w:sz w:val="20"/>
          <w:szCs w:val="20"/>
        </w:rPr>
        <w:t xml:space="preserve"> de 90 dB, de 06/03/1997 a 18/11/2003; e iii) </w:t>
      </w:r>
      <w:r w:rsidR="00BE7827" w:rsidRPr="00740DBD">
        <w:rPr>
          <w:rFonts w:ascii="Arial" w:hAnsi="Arial" w:cs="Arial"/>
          <w:sz w:val="20"/>
          <w:szCs w:val="20"/>
          <w:u w:val="single"/>
        </w:rPr>
        <w:t>acima</w:t>
      </w:r>
      <w:r w:rsidR="00BE7827" w:rsidRPr="00740DBD">
        <w:rPr>
          <w:rFonts w:ascii="Arial" w:hAnsi="Arial" w:cs="Arial"/>
          <w:sz w:val="20"/>
          <w:szCs w:val="20"/>
        </w:rPr>
        <w:t xml:space="preserve"> de 85 dB, desde 19/11/2003.</w:t>
      </w:r>
    </w:p>
    <w:p w:rsidR="00BE7827" w:rsidRPr="00740DBD" w:rsidRDefault="00841C98" w:rsidP="00BE7827">
      <w:pPr>
        <w:pStyle w:val="ementa"/>
        <w:spacing w:before="0" w:after="0"/>
        <w:rPr>
          <w:rFonts w:cs="Arial"/>
          <w:sz w:val="20"/>
          <w:szCs w:val="20"/>
        </w:rPr>
      </w:pPr>
      <w:r>
        <w:rPr>
          <w:rFonts w:eastAsia="MS Mincho" w:cs="Arial"/>
          <w:b/>
          <w:sz w:val="20"/>
          <w:szCs w:val="20"/>
        </w:rPr>
        <w:t>8</w:t>
      </w:r>
      <w:r w:rsidR="00BE7827" w:rsidRPr="00740DBD">
        <w:rPr>
          <w:rFonts w:eastAsia="MS Mincho" w:cs="Arial"/>
          <w:b/>
          <w:sz w:val="20"/>
          <w:szCs w:val="20"/>
        </w:rPr>
        <w:t>.</w:t>
      </w:r>
      <w:r w:rsidR="00BE7827" w:rsidRPr="00740DBD">
        <w:rPr>
          <w:rFonts w:eastAsia="MS Mincho" w:cs="Arial"/>
          <w:sz w:val="20"/>
          <w:szCs w:val="20"/>
        </w:rPr>
        <w:t xml:space="preserve"> No julgamento do ARE 6</w:t>
      </w:r>
      <w:r>
        <w:rPr>
          <w:rFonts w:eastAsia="MS Mincho" w:cs="Arial"/>
          <w:sz w:val="20"/>
          <w:szCs w:val="20"/>
        </w:rPr>
        <w:t>6</w:t>
      </w:r>
      <w:r w:rsidR="00BE7827" w:rsidRPr="00740DBD">
        <w:rPr>
          <w:rFonts w:eastAsia="MS Mincho" w:cs="Arial"/>
          <w:sz w:val="20"/>
          <w:szCs w:val="20"/>
        </w:rPr>
        <w:t>4.3</w:t>
      </w:r>
      <w:r>
        <w:rPr>
          <w:rFonts w:eastAsia="MS Mincho" w:cs="Arial"/>
          <w:sz w:val="20"/>
          <w:szCs w:val="20"/>
        </w:rPr>
        <w:t>3</w:t>
      </w:r>
      <w:r w:rsidR="00BE7827" w:rsidRPr="00740DBD">
        <w:rPr>
          <w:rFonts w:eastAsia="MS Mincho" w:cs="Arial"/>
          <w:sz w:val="20"/>
          <w:szCs w:val="20"/>
        </w:rPr>
        <w:t xml:space="preserve">5/SC, com repercussão geral reconhecida, o Supremo Tribunal Federal fixou as teses de que: a) </w:t>
      </w:r>
      <w:r w:rsidR="00BE7827" w:rsidRPr="00740DBD">
        <w:rPr>
          <w:rFonts w:cs="Arial"/>
          <w:b/>
          <w:i/>
          <w:sz w:val="20"/>
          <w:szCs w:val="20"/>
        </w:rPr>
        <w:t>se o EPI for realmente capaz de neutralizar a nocividade não haverá respaldo constitucional à aposentadoria especial.</w:t>
      </w:r>
      <w:r w:rsidR="00BE7827" w:rsidRPr="00740DBD">
        <w:rPr>
          <w:rFonts w:cs="Arial"/>
          <w:i/>
          <w:sz w:val="20"/>
          <w:szCs w:val="20"/>
        </w:rPr>
        <w:t xml:space="preserve"> 11. A Administração poderá, no exercício da fiscalização, aferir as informações prestadas pela empresa, sem prejuízo do </w:t>
      </w:r>
      <w:proofErr w:type="spellStart"/>
      <w:r w:rsidR="00BE7827" w:rsidRPr="00740DBD">
        <w:rPr>
          <w:rFonts w:cs="Arial"/>
          <w:i/>
          <w:sz w:val="20"/>
          <w:szCs w:val="20"/>
        </w:rPr>
        <w:t>inafastável</w:t>
      </w:r>
      <w:proofErr w:type="spellEnd"/>
      <w:r w:rsidR="00BE7827" w:rsidRPr="00740DBD">
        <w:rPr>
          <w:rFonts w:cs="Arial"/>
          <w:i/>
          <w:sz w:val="20"/>
          <w:szCs w:val="20"/>
        </w:rPr>
        <w:t xml:space="preserve"> judicial </w:t>
      </w:r>
      <w:proofErr w:type="spellStart"/>
      <w:r w:rsidR="00BE7827" w:rsidRPr="00740DBD">
        <w:rPr>
          <w:rFonts w:cs="Arial"/>
          <w:i/>
          <w:sz w:val="20"/>
          <w:szCs w:val="20"/>
        </w:rPr>
        <w:t>review</w:t>
      </w:r>
      <w:proofErr w:type="spellEnd"/>
      <w:r w:rsidR="00BE7827" w:rsidRPr="00740DBD">
        <w:rPr>
          <w:rFonts w:cs="Arial"/>
          <w:i/>
          <w:sz w:val="20"/>
          <w:szCs w:val="20"/>
        </w:rPr>
        <w:t xml:space="preserve">. </w:t>
      </w:r>
      <w:r w:rsidR="00BE7827" w:rsidRPr="00740DBD">
        <w:rPr>
          <w:rFonts w:cs="Arial"/>
          <w:b/>
          <w:i/>
          <w:sz w:val="20"/>
          <w:szCs w:val="20"/>
        </w:rPr>
        <w:t xml:space="preserve">Em caso de divergência ou dúvida sobre a real eficácia do Equipamento de Proteção Individual, a premissa a nortear a Administração e o Judiciário é pelo reconhecimento do direito ao benefício da aposentadoria especial. </w:t>
      </w:r>
      <w:proofErr w:type="gramStart"/>
      <w:r w:rsidR="00BE7827" w:rsidRPr="00740DBD">
        <w:rPr>
          <w:rFonts w:cs="Arial"/>
          <w:b/>
          <w:i/>
          <w:sz w:val="20"/>
          <w:szCs w:val="20"/>
        </w:rPr>
        <w:t xml:space="preserve">Isto porque o uso de EPI, no caso concreto, pode não se afigurar suficiente para descaracterizar completamente a relação nociva a que o empregado se submete; </w:t>
      </w:r>
      <w:r w:rsidR="00BE7827" w:rsidRPr="00740DBD">
        <w:rPr>
          <w:rFonts w:cs="Arial"/>
          <w:sz w:val="20"/>
          <w:szCs w:val="20"/>
        </w:rPr>
        <w:t>b)</w:t>
      </w:r>
      <w:proofErr w:type="gramEnd"/>
      <w:r w:rsidR="00BE7827" w:rsidRPr="00740DBD">
        <w:rPr>
          <w:rFonts w:eastAsia="MS Mincho" w:cs="Arial"/>
          <w:sz w:val="20"/>
          <w:szCs w:val="20"/>
        </w:rPr>
        <w:t xml:space="preserve">, </w:t>
      </w:r>
      <w:r w:rsidR="00BE7827" w:rsidRPr="00740DBD">
        <w:rPr>
          <w:rFonts w:cs="Arial"/>
          <w:sz w:val="20"/>
          <w:szCs w:val="20"/>
        </w:rPr>
        <w:t xml:space="preserve">na hipótese de exposição do trabalhador a ruído acima dos limites legais de tolerância, a declaração do empregador, no âmbito do Perfil Profissiográfico Previdenciário (PPP), no sentido da eficácia do Equipamento de Proteção Individual - EPI, não descaracteriza o tempo de serviço especial para aposentadoria. </w:t>
      </w:r>
    </w:p>
    <w:p w:rsidR="00BE7827" w:rsidRPr="00740DBD" w:rsidRDefault="00841C98" w:rsidP="00BE7827">
      <w:pPr>
        <w:pStyle w:val="ementa"/>
        <w:spacing w:before="0" w:after="0"/>
        <w:rPr>
          <w:rFonts w:cs="Arial"/>
          <w:sz w:val="20"/>
          <w:szCs w:val="20"/>
        </w:rPr>
      </w:pPr>
      <w:r>
        <w:rPr>
          <w:rFonts w:cs="Arial"/>
          <w:b/>
          <w:sz w:val="20"/>
          <w:szCs w:val="20"/>
        </w:rPr>
        <w:t>9</w:t>
      </w:r>
      <w:r w:rsidR="00BE7827" w:rsidRPr="00740DBD">
        <w:rPr>
          <w:rFonts w:cs="Arial"/>
          <w:b/>
          <w:sz w:val="20"/>
          <w:szCs w:val="20"/>
        </w:rPr>
        <w:t>.</w:t>
      </w:r>
      <w:r w:rsidR="00BE7827" w:rsidRPr="00740DBD">
        <w:rPr>
          <w:rFonts w:cs="Arial"/>
          <w:sz w:val="20"/>
          <w:szCs w:val="20"/>
        </w:rPr>
        <w:t xml:space="preserve"> Depreende-se do voto-condutor do aresto que, para que a utilização de EPI seja hábil a afastar o reconhecimento de determinado período como especial, deve haver prova </w:t>
      </w:r>
      <w:r w:rsidR="00BE7827" w:rsidRPr="00740DBD">
        <w:rPr>
          <w:rFonts w:cs="Arial"/>
          <w:b/>
          <w:sz w:val="20"/>
          <w:szCs w:val="20"/>
        </w:rPr>
        <w:t>cabal</w:t>
      </w:r>
      <w:r w:rsidR="00BE7827" w:rsidRPr="00740DBD">
        <w:rPr>
          <w:rFonts w:cs="Arial"/>
          <w:sz w:val="20"/>
          <w:szCs w:val="20"/>
        </w:rPr>
        <w:t xml:space="preserve"> e </w:t>
      </w:r>
      <w:r w:rsidR="00BE7827" w:rsidRPr="00740DBD">
        <w:rPr>
          <w:rFonts w:cs="Arial"/>
          <w:b/>
          <w:sz w:val="20"/>
          <w:szCs w:val="20"/>
        </w:rPr>
        <w:t>irrefutável</w:t>
      </w:r>
      <w:r w:rsidR="00BE7827" w:rsidRPr="00740DBD">
        <w:rPr>
          <w:rFonts w:cs="Arial"/>
          <w:sz w:val="20"/>
          <w:szCs w:val="20"/>
        </w:rPr>
        <w:t xml:space="preserve"> de que ele foi </w:t>
      </w:r>
      <w:r w:rsidR="00BE7827" w:rsidRPr="00740DBD">
        <w:rPr>
          <w:rFonts w:cs="Arial"/>
          <w:b/>
          <w:sz w:val="20"/>
          <w:szCs w:val="20"/>
        </w:rPr>
        <w:t>efetivamente</w:t>
      </w:r>
      <w:r w:rsidR="00BE7827" w:rsidRPr="00740DBD">
        <w:rPr>
          <w:rFonts w:cs="Arial"/>
          <w:sz w:val="20"/>
          <w:szCs w:val="20"/>
        </w:rPr>
        <w:t xml:space="preserve"> eficaz, neutralizando ou eliminando a presença do agente nocivo, de modo que a dúvida a respeito da real eficácia do EPI milita em favor do segurado, e não basta para elidi-la a singela assinalação, em campo próprio do PPP, contendo resposta afirmativa ao quesito pertinente à utilização de EPI eficaz, sem nenhuma outra informação quanto ao grau de eliminação ou de neutralização do agente nocivo (Precedente: AMS 00099885120084036109, DESEMBARGADOR FEDERAL NELSON PORFIRIO, TRF3 - DÉCIMA TURMA, e-DJF3 Judicial </w:t>
      </w:r>
      <w:proofErr w:type="gramStart"/>
      <w:r w:rsidR="00BE7827" w:rsidRPr="00740DBD">
        <w:rPr>
          <w:rFonts w:cs="Arial"/>
          <w:sz w:val="20"/>
          <w:szCs w:val="20"/>
        </w:rPr>
        <w:t>1</w:t>
      </w:r>
      <w:proofErr w:type="gramEnd"/>
      <w:r w:rsidR="00BE7827" w:rsidRPr="00740DBD">
        <w:rPr>
          <w:rFonts w:cs="Arial"/>
          <w:sz w:val="20"/>
          <w:szCs w:val="20"/>
        </w:rPr>
        <w:t xml:space="preserve"> DATA:24/02/2016 ..FONTE_REPUBLICACAO:.)</w:t>
      </w:r>
    </w:p>
    <w:p w:rsidR="00841C98" w:rsidRPr="00841C98" w:rsidRDefault="00841C98" w:rsidP="00841C98">
      <w:pPr>
        <w:jc w:val="both"/>
        <w:rPr>
          <w:rFonts w:ascii="Arial" w:hAnsi="Arial" w:cs="Arial"/>
          <w:sz w:val="20"/>
          <w:szCs w:val="20"/>
        </w:rPr>
      </w:pPr>
      <w:r>
        <w:rPr>
          <w:rFonts w:ascii="Arial" w:hAnsi="Arial" w:cs="Arial"/>
          <w:b/>
          <w:sz w:val="20"/>
          <w:szCs w:val="20"/>
        </w:rPr>
        <w:t>10</w:t>
      </w:r>
      <w:r w:rsidR="00BE7827" w:rsidRPr="00740DBD">
        <w:rPr>
          <w:rFonts w:ascii="Arial" w:hAnsi="Arial" w:cs="Arial"/>
          <w:b/>
          <w:sz w:val="20"/>
          <w:szCs w:val="20"/>
        </w:rPr>
        <w:t xml:space="preserve">. </w:t>
      </w:r>
      <w:r>
        <w:rPr>
          <w:rFonts w:ascii="Arial" w:hAnsi="Arial" w:cs="Arial"/>
          <w:sz w:val="20"/>
          <w:szCs w:val="20"/>
        </w:rPr>
        <w:t>Quanto aos períodos</w:t>
      </w:r>
      <w:r w:rsidR="00BE7827" w:rsidRPr="00D03B5B">
        <w:rPr>
          <w:rFonts w:ascii="Arial" w:hAnsi="Arial" w:cs="Arial"/>
          <w:sz w:val="20"/>
          <w:szCs w:val="20"/>
        </w:rPr>
        <w:t xml:space="preserve"> controverso</w:t>
      </w:r>
      <w:r>
        <w:rPr>
          <w:rFonts w:ascii="Arial" w:hAnsi="Arial" w:cs="Arial"/>
          <w:sz w:val="20"/>
          <w:szCs w:val="20"/>
        </w:rPr>
        <w:t xml:space="preserve">s, todos obtiveram o reconhecimento da especialidade em sentença: </w:t>
      </w:r>
      <w:r w:rsidRPr="00841C98">
        <w:rPr>
          <w:rFonts w:ascii="Arial" w:hAnsi="Arial" w:cs="Arial"/>
          <w:b/>
          <w:sz w:val="20"/>
          <w:szCs w:val="20"/>
        </w:rPr>
        <w:t>a)</w:t>
      </w:r>
      <w:r w:rsidRPr="00841C98">
        <w:rPr>
          <w:rFonts w:ascii="Arial" w:hAnsi="Arial" w:cs="Arial"/>
          <w:sz w:val="20"/>
          <w:szCs w:val="20"/>
        </w:rPr>
        <w:t xml:space="preserve"> </w:t>
      </w:r>
      <w:r w:rsidRPr="00841C98">
        <w:rPr>
          <w:rFonts w:ascii="Arial" w:hAnsi="Arial" w:cs="Arial"/>
          <w:sz w:val="20"/>
          <w:szCs w:val="20"/>
          <w:u w:val="single"/>
        </w:rPr>
        <w:t>16.08.77 a 16.12.77 e 18.10.78 a 10.11.78</w:t>
      </w:r>
      <w:r w:rsidRPr="00841C98">
        <w:rPr>
          <w:rFonts w:ascii="Arial" w:hAnsi="Arial" w:cs="Arial"/>
          <w:sz w:val="20"/>
          <w:szCs w:val="20"/>
        </w:rPr>
        <w:t xml:space="preserve"> – segundo o formulário DSS 8030 (fl. 177) o autor esteve exposto a </w:t>
      </w:r>
      <w:r w:rsidRPr="00841C98">
        <w:rPr>
          <w:rFonts w:ascii="Arial" w:hAnsi="Arial" w:cs="Arial"/>
          <w:i/>
          <w:sz w:val="20"/>
          <w:szCs w:val="20"/>
        </w:rPr>
        <w:t>pó de madeiras,</w:t>
      </w:r>
      <w:r w:rsidRPr="00841C98">
        <w:rPr>
          <w:rFonts w:ascii="Arial" w:hAnsi="Arial" w:cs="Arial"/>
          <w:sz w:val="20"/>
          <w:szCs w:val="20"/>
        </w:rPr>
        <w:t xml:space="preserve"> que não está descrito como agente nocivo na legislação de regência, e a ruído de 80 </w:t>
      </w:r>
      <w:proofErr w:type="gramStart"/>
      <w:r w:rsidRPr="00841C98">
        <w:rPr>
          <w:rFonts w:ascii="Arial" w:hAnsi="Arial" w:cs="Arial"/>
          <w:sz w:val="20"/>
          <w:szCs w:val="20"/>
        </w:rPr>
        <w:t>dB</w:t>
      </w:r>
      <w:proofErr w:type="gramEnd"/>
      <w:r w:rsidRPr="00841C98">
        <w:rPr>
          <w:rFonts w:ascii="Arial" w:hAnsi="Arial" w:cs="Arial"/>
          <w:sz w:val="20"/>
          <w:szCs w:val="20"/>
        </w:rPr>
        <w:t xml:space="preserve">, sem, contudo, apresentar laudo técnico pericial, </w:t>
      </w:r>
      <w:r w:rsidRPr="00841C98">
        <w:rPr>
          <w:rFonts w:ascii="Arial" w:hAnsi="Arial" w:cs="Arial"/>
          <w:b/>
          <w:sz w:val="20"/>
          <w:szCs w:val="20"/>
        </w:rPr>
        <w:t>razão pela qual é indevido o reconhecimento da especialidade;</w:t>
      </w:r>
      <w:r>
        <w:rPr>
          <w:rFonts w:ascii="Arial" w:hAnsi="Arial" w:cs="Arial"/>
          <w:b/>
          <w:sz w:val="20"/>
          <w:szCs w:val="20"/>
        </w:rPr>
        <w:t xml:space="preserve"> </w:t>
      </w:r>
      <w:r w:rsidRPr="00841C98">
        <w:rPr>
          <w:rFonts w:ascii="Arial" w:hAnsi="Arial" w:cs="Arial"/>
          <w:b/>
          <w:sz w:val="20"/>
          <w:szCs w:val="20"/>
        </w:rPr>
        <w:t>b)</w:t>
      </w:r>
      <w:r w:rsidRPr="00841C98">
        <w:rPr>
          <w:rFonts w:ascii="Arial" w:hAnsi="Arial" w:cs="Arial"/>
          <w:sz w:val="20"/>
          <w:szCs w:val="20"/>
        </w:rPr>
        <w:t xml:space="preserve"> </w:t>
      </w:r>
      <w:r w:rsidRPr="00841C98">
        <w:rPr>
          <w:rFonts w:ascii="Arial" w:hAnsi="Arial" w:cs="Arial"/>
          <w:sz w:val="20"/>
          <w:szCs w:val="20"/>
          <w:u w:val="single"/>
        </w:rPr>
        <w:t>20.07.99 a 30.12.99</w:t>
      </w:r>
      <w:r w:rsidRPr="00841C98">
        <w:rPr>
          <w:rFonts w:ascii="Arial" w:hAnsi="Arial" w:cs="Arial"/>
          <w:sz w:val="20"/>
          <w:szCs w:val="20"/>
        </w:rPr>
        <w:t xml:space="preserve">; </w:t>
      </w:r>
      <w:r w:rsidRPr="00841C98">
        <w:rPr>
          <w:rFonts w:ascii="Arial" w:hAnsi="Arial" w:cs="Arial"/>
          <w:sz w:val="20"/>
          <w:szCs w:val="20"/>
          <w:u w:val="single"/>
        </w:rPr>
        <w:t>26.11.2001 a 22.01.2007</w:t>
      </w:r>
      <w:r w:rsidRPr="00841C98">
        <w:rPr>
          <w:rFonts w:ascii="Arial" w:hAnsi="Arial" w:cs="Arial"/>
          <w:sz w:val="20"/>
          <w:szCs w:val="20"/>
        </w:rPr>
        <w:t xml:space="preserve">; </w:t>
      </w:r>
      <w:r w:rsidRPr="00841C98">
        <w:rPr>
          <w:rFonts w:ascii="Arial" w:hAnsi="Arial" w:cs="Arial"/>
          <w:sz w:val="20"/>
          <w:szCs w:val="20"/>
          <w:u w:val="single"/>
        </w:rPr>
        <w:t>17.11.2008 a 10.12.2009</w:t>
      </w:r>
      <w:r w:rsidRPr="00841C98">
        <w:rPr>
          <w:rFonts w:ascii="Arial" w:hAnsi="Arial" w:cs="Arial"/>
          <w:sz w:val="20"/>
          <w:szCs w:val="20"/>
        </w:rPr>
        <w:t xml:space="preserve"> – conforme </w:t>
      </w:r>
      <w:proofErr w:type="spellStart"/>
      <w:r w:rsidRPr="00841C98">
        <w:rPr>
          <w:rFonts w:ascii="Arial" w:hAnsi="Arial" w:cs="Arial"/>
          <w:sz w:val="20"/>
          <w:szCs w:val="20"/>
        </w:rPr>
        <w:t>PPPs</w:t>
      </w:r>
      <w:proofErr w:type="spellEnd"/>
      <w:r w:rsidRPr="00841C98">
        <w:rPr>
          <w:rFonts w:ascii="Arial" w:hAnsi="Arial" w:cs="Arial"/>
          <w:sz w:val="20"/>
          <w:szCs w:val="20"/>
        </w:rPr>
        <w:t xml:space="preserve"> juntados às fls. 180/181; 182/183 e 184/185, a parte autora esteve exposta a ruído em intensidade de 90,97 e 90,87 dB, sempre acima dos limites de tolerância, razão pela qual está correto o enquadramento realizado pelo juízo </w:t>
      </w:r>
      <w:r w:rsidRPr="00841C98">
        <w:rPr>
          <w:rFonts w:ascii="Arial" w:hAnsi="Arial" w:cs="Arial"/>
          <w:i/>
          <w:sz w:val="20"/>
          <w:szCs w:val="20"/>
        </w:rPr>
        <w:t xml:space="preserve">a </w:t>
      </w:r>
      <w:proofErr w:type="spellStart"/>
      <w:r w:rsidRPr="00841C98">
        <w:rPr>
          <w:rFonts w:ascii="Arial" w:hAnsi="Arial" w:cs="Arial"/>
          <w:i/>
          <w:sz w:val="20"/>
          <w:szCs w:val="20"/>
        </w:rPr>
        <w:t>quo</w:t>
      </w:r>
      <w:proofErr w:type="spellEnd"/>
      <w:r w:rsidRPr="00841C98">
        <w:rPr>
          <w:rFonts w:ascii="Arial" w:hAnsi="Arial" w:cs="Arial"/>
          <w:sz w:val="20"/>
          <w:szCs w:val="20"/>
        </w:rPr>
        <w:t>;</w:t>
      </w:r>
      <w:r>
        <w:rPr>
          <w:rFonts w:ascii="Arial" w:hAnsi="Arial" w:cs="Arial"/>
          <w:sz w:val="20"/>
          <w:szCs w:val="20"/>
        </w:rPr>
        <w:t xml:space="preserve"> </w:t>
      </w:r>
      <w:r w:rsidRPr="00841C98">
        <w:rPr>
          <w:rFonts w:ascii="Arial" w:hAnsi="Arial" w:cs="Arial"/>
          <w:b/>
          <w:sz w:val="20"/>
          <w:szCs w:val="20"/>
        </w:rPr>
        <w:t>c)</w:t>
      </w:r>
      <w:r w:rsidRPr="00841C98">
        <w:rPr>
          <w:rFonts w:ascii="Arial" w:hAnsi="Arial" w:cs="Arial"/>
          <w:sz w:val="20"/>
          <w:szCs w:val="20"/>
        </w:rPr>
        <w:t xml:space="preserve"> </w:t>
      </w:r>
      <w:r w:rsidRPr="00841C98">
        <w:rPr>
          <w:rFonts w:ascii="Arial" w:hAnsi="Arial" w:cs="Arial"/>
          <w:sz w:val="20"/>
          <w:szCs w:val="20"/>
          <w:u w:val="single"/>
        </w:rPr>
        <w:t>30.10.2007 a 29.08.2008</w:t>
      </w:r>
      <w:r w:rsidRPr="00841C98">
        <w:rPr>
          <w:rFonts w:ascii="Arial" w:hAnsi="Arial" w:cs="Arial"/>
          <w:sz w:val="20"/>
          <w:szCs w:val="20"/>
        </w:rPr>
        <w:t xml:space="preserve"> – o PPP de fls. 186/187 dá conta da exposição a radiação solar e, genericamente, “agentes químicos”.  A genérica anotação em relação aos agentes químicos inviabiliza o reconhecimento da especialidade sob este prisma. No que concerne à radiação solar, o agente físico calor é de análise </w:t>
      </w:r>
      <w:r w:rsidRPr="00841C98">
        <w:rPr>
          <w:rFonts w:ascii="Arial" w:hAnsi="Arial" w:cs="Arial"/>
          <w:b/>
          <w:sz w:val="20"/>
          <w:szCs w:val="20"/>
        </w:rPr>
        <w:t>quantitativa</w:t>
      </w:r>
      <w:r w:rsidRPr="00841C98">
        <w:rPr>
          <w:rFonts w:ascii="Arial" w:hAnsi="Arial" w:cs="Arial"/>
          <w:sz w:val="20"/>
          <w:szCs w:val="20"/>
        </w:rPr>
        <w:t xml:space="preserve">, estando os limites de tolerância estabelecidos pelo Anexo III da NR 15. </w:t>
      </w:r>
      <w:proofErr w:type="gramStart"/>
      <w:r w:rsidRPr="00841C98">
        <w:rPr>
          <w:rFonts w:ascii="Arial" w:hAnsi="Arial" w:cs="Arial"/>
          <w:sz w:val="20"/>
          <w:szCs w:val="20"/>
        </w:rPr>
        <w:t xml:space="preserve">Como o PPP não informa os índices de exposição, </w:t>
      </w:r>
      <w:r w:rsidRPr="00841C98">
        <w:rPr>
          <w:rFonts w:ascii="Arial" w:hAnsi="Arial" w:cs="Arial"/>
          <w:b/>
          <w:sz w:val="20"/>
          <w:szCs w:val="20"/>
        </w:rPr>
        <w:t>o período há de ser considerado comum, merecendo reforma a sentença neste ponto</w:t>
      </w:r>
      <w:r>
        <w:rPr>
          <w:rFonts w:ascii="Arial" w:hAnsi="Arial" w:cs="Arial"/>
          <w:b/>
          <w:sz w:val="20"/>
          <w:szCs w:val="20"/>
        </w:rPr>
        <w:t xml:space="preserve"> </w:t>
      </w:r>
      <w:r w:rsidRPr="00841C98">
        <w:rPr>
          <w:rFonts w:ascii="Arial" w:hAnsi="Arial" w:cs="Arial"/>
          <w:sz w:val="20"/>
          <w:szCs w:val="20"/>
        </w:rPr>
        <w:t>e</w:t>
      </w:r>
      <w:r>
        <w:rPr>
          <w:rFonts w:ascii="Arial" w:hAnsi="Arial" w:cs="Arial"/>
          <w:b/>
          <w:sz w:val="20"/>
          <w:szCs w:val="20"/>
        </w:rPr>
        <w:t xml:space="preserve"> </w:t>
      </w:r>
      <w:r w:rsidRPr="00841C98">
        <w:rPr>
          <w:rFonts w:ascii="Arial" w:hAnsi="Arial" w:cs="Arial"/>
          <w:b/>
          <w:sz w:val="20"/>
          <w:szCs w:val="20"/>
        </w:rPr>
        <w:t>d)</w:t>
      </w:r>
      <w:proofErr w:type="gramEnd"/>
      <w:r w:rsidRPr="00841C98">
        <w:rPr>
          <w:rFonts w:ascii="Arial" w:hAnsi="Arial" w:cs="Arial"/>
          <w:sz w:val="20"/>
          <w:szCs w:val="20"/>
        </w:rPr>
        <w:t xml:space="preserve"> </w:t>
      </w:r>
      <w:r w:rsidRPr="00841C98">
        <w:rPr>
          <w:rFonts w:ascii="Arial" w:hAnsi="Arial" w:cs="Arial"/>
          <w:sz w:val="20"/>
          <w:szCs w:val="20"/>
          <w:u w:val="single"/>
        </w:rPr>
        <w:t>28.11.2011 a 03.10.2012</w:t>
      </w:r>
      <w:r w:rsidRPr="00841C98">
        <w:rPr>
          <w:rFonts w:ascii="Arial" w:hAnsi="Arial" w:cs="Arial"/>
          <w:sz w:val="20"/>
          <w:szCs w:val="20"/>
        </w:rPr>
        <w:t xml:space="preserve"> – consoante PPP de fls. 190/191 o autor estava exposta a </w:t>
      </w:r>
      <w:r w:rsidRPr="00841C98">
        <w:rPr>
          <w:rFonts w:ascii="Arial" w:hAnsi="Arial" w:cs="Arial"/>
          <w:bCs/>
          <w:sz w:val="20"/>
          <w:szCs w:val="20"/>
        </w:rPr>
        <w:t>fumos metálicos</w:t>
      </w:r>
      <w:r w:rsidRPr="00841C98">
        <w:rPr>
          <w:rFonts w:ascii="Arial" w:hAnsi="Arial" w:cs="Arial"/>
          <w:sz w:val="20"/>
          <w:szCs w:val="20"/>
        </w:rPr>
        <w:t xml:space="preserve"> de produtos a base de sílica, comprovando o enquadramento e no item 1.0.16 do Anexo IV do Decreto 3.048/99, razão pela qual se impõe o enquadramento do período, tal como feito em sentença.</w:t>
      </w:r>
    </w:p>
    <w:p w:rsidR="00841C98" w:rsidRDefault="00841C98" w:rsidP="00BE7827">
      <w:pPr>
        <w:jc w:val="both"/>
        <w:rPr>
          <w:rFonts w:ascii="Arial" w:hAnsi="Arial" w:cs="Arial"/>
          <w:b/>
          <w:sz w:val="20"/>
          <w:szCs w:val="20"/>
        </w:rPr>
      </w:pPr>
      <w:r>
        <w:rPr>
          <w:rFonts w:ascii="Arial" w:hAnsi="Arial" w:cs="Arial"/>
          <w:b/>
          <w:sz w:val="20"/>
          <w:szCs w:val="20"/>
        </w:rPr>
        <w:t xml:space="preserve">11. </w:t>
      </w:r>
      <w:r w:rsidRPr="00841C98">
        <w:rPr>
          <w:rFonts w:ascii="Arial" w:hAnsi="Arial" w:cs="Arial"/>
          <w:sz w:val="20"/>
          <w:szCs w:val="20"/>
        </w:rPr>
        <w:t>Desconsiderada a especialidade dos interstícios listados nos tópicos “a” e “c”</w:t>
      </w:r>
      <w:r w:rsidR="00233E72">
        <w:rPr>
          <w:rFonts w:ascii="Arial" w:hAnsi="Arial" w:cs="Arial"/>
          <w:sz w:val="20"/>
          <w:szCs w:val="20"/>
        </w:rPr>
        <w:t>.</w:t>
      </w:r>
    </w:p>
    <w:p w:rsidR="00233E72" w:rsidRDefault="00841C98" w:rsidP="00233E72">
      <w:pPr>
        <w:jc w:val="both"/>
        <w:rPr>
          <w:rFonts w:ascii="Arial" w:hAnsi="Arial" w:cs="Arial"/>
          <w:sz w:val="20"/>
          <w:szCs w:val="20"/>
        </w:rPr>
      </w:pPr>
      <w:r>
        <w:rPr>
          <w:rFonts w:ascii="Arial" w:hAnsi="Arial" w:cs="Arial"/>
          <w:b/>
          <w:sz w:val="20"/>
          <w:szCs w:val="20"/>
        </w:rPr>
        <w:t>1</w:t>
      </w:r>
      <w:r w:rsidR="00233E72">
        <w:rPr>
          <w:rFonts w:ascii="Arial" w:hAnsi="Arial" w:cs="Arial"/>
          <w:b/>
          <w:sz w:val="20"/>
          <w:szCs w:val="20"/>
        </w:rPr>
        <w:t>2</w:t>
      </w:r>
      <w:r w:rsidR="00BE7827">
        <w:rPr>
          <w:rFonts w:ascii="Arial" w:hAnsi="Arial" w:cs="Arial"/>
          <w:sz w:val="20"/>
          <w:szCs w:val="20"/>
        </w:rPr>
        <w:t>.</w:t>
      </w:r>
      <w:r w:rsidR="00233E72" w:rsidRPr="00233E72">
        <w:rPr>
          <w:rFonts w:eastAsia="Times New Roman" w:cs="Arial"/>
          <w:b/>
          <w:sz w:val="20"/>
          <w:szCs w:val="20"/>
        </w:rPr>
        <w:t xml:space="preserve"> </w:t>
      </w:r>
      <w:r w:rsidR="00233E72" w:rsidRPr="00233E72">
        <w:rPr>
          <w:rFonts w:ascii="Arial" w:eastAsia="Times New Roman" w:hAnsi="Arial" w:cs="Arial"/>
          <w:sz w:val="20"/>
          <w:szCs w:val="20"/>
        </w:rPr>
        <w:t>M</w:t>
      </w:r>
      <w:r w:rsidR="00233E72" w:rsidRPr="00233E72">
        <w:rPr>
          <w:rFonts w:ascii="Arial" w:hAnsi="Arial" w:cs="Arial"/>
          <w:sz w:val="20"/>
          <w:szCs w:val="20"/>
        </w:rPr>
        <w:t>antid</w:t>
      </w:r>
      <w:r w:rsidR="00233E72">
        <w:rPr>
          <w:rFonts w:ascii="Arial" w:hAnsi="Arial" w:cs="Arial"/>
          <w:sz w:val="20"/>
          <w:szCs w:val="20"/>
        </w:rPr>
        <w:t>a</w:t>
      </w:r>
      <w:r w:rsidR="00233E72" w:rsidRPr="00233E72">
        <w:rPr>
          <w:rFonts w:ascii="Arial" w:hAnsi="Arial" w:cs="Arial"/>
          <w:sz w:val="20"/>
          <w:szCs w:val="20"/>
        </w:rPr>
        <w:t xml:space="preserve"> </w:t>
      </w:r>
      <w:r w:rsidR="00233E72">
        <w:rPr>
          <w:rFonts w:ascii="Arial" w:hAnsi="Arial" w:cs="Arial"/>
          <w:sz w:val="20"/>
          <w:szCs w:val="20"/>
        </w:rPr>
        <w:t>a</w:t>
      </w:r>
      <w:r w:rsidR="00233E72" w:rsidRPr="00233E72">
        <w:rPr>
          <w:rFonts w:ascii="Arial" w:hAnsi="Arial" w:cs="Arial"/>
          <w:sz w:val="20"/>
          <w:szCs w:val="20"/>
        </w:rPr>
        <w:t xml:space="preserve"> concessão da aposentadoria integral desde a DER, conforme assegurado em sentença</w:t>
      </w:r>
      <w:r w:rsidR="00233E72">
        <w:rPr>
          <w:rFonts w:ascii="Arial" w:hAnsi="Arial" w:cs="Arial"/>
          <w:sz w:val="20"/>
          <w:szCs w:val="20"/>
        </w:rPr>
        <w:t>, eis que, a despeito da desconsideração da especialidade dos interstícios “a” e “c”, conta a parte autora com mais de 35 anos de tempo de contribuição.</w:t>
      </w:r>
    </w:p>
    <w:p w:rsidR="00233E72" w:rsidRPr="008F4A0E" w:rsidRDefault="00233E72" w:rsidP="00233E72">
      <w:pPr>
        <w:ind w:right="45"/>
        <w:jc w:val="both"/>
        <w:rPr>
          <w:rFonts w:ascii="Arial" w:hAnsi="Arial" w:cs="Arial"/>
          <w:iCs/>
          <w:sz w:val="20"/>
          <w:szCs w:val="20"/>
        </w:rPr>
      </w:pPr>
      <w:r>
        <w:rPr>
          <w:rFonts w:ascii="Arial" w:hAnsi="Arial" w:cs="Arial"/>
          <w:b/>
          <w:sz w:val="20"/>
          <w:szCs w:val="20"/>
        </w:rPr>
        <w:t>13</w:t>
      </w:r>
      <w:r w:rsidRPr="008F4A0E">
        <w:rPr>
          <w:rFonts w:ascii="Arial" w:hAnsi="Arial" w:cs="Arial"/>
          <w:b/>
          <w:sz w:val="20"/>
          <w:szCs w:val="20"/>
        </w:rPr>
        <w:t xml:space="preserve">. </w:t>
      </w:r>
      <w:r w:rsidRPr="008F4A0E">
        <w:rPr>
          <w:rFonts w:ascii="Arial" w:hAnsi="Arial" w:cs="Arial"/>
          <w:iCs/>
          <w:sz w:val="20"/>
          <w:szCs w:val="20"/>
        </w:rPr>
        <w:t>Em relação aos juros de mora (a partir da citação) e correção monetária, conforme orientação seguida por esta Câmara</w:t>
      </w:r>
      <w:proofErr w:type="gramStart"/>
      <w:r w:rsidRPr="008F4A0E">
        <w:rPr>
          <w:rFonts w:ascii="Arial" w:hAnsi="Arial" w:cs="Arial"/>
          <w:iCs/>
          <w:sz w:val="20"/>
          <w:szCs w:val="20"/>
        </w:rPr>
        <w:t>, devem</w:t>
      </w:r>
      <w:proofErr w:type="gramEnd"/>
      <w:r w:rsidRPr="008F4A0E">
        <w:rPr>
          <w:rFonts w:ascii="Arial" w:hAnsi="Arial" w:cs="Arial"/>
          <w:iCs/>
          <w:sz w:val="20"/>
          <w:szCs w:val="20"/>
        </w:rPr>
        <w:t xml:space="preserve"> ser observados os ditames do art. 1º-F, da Lei nº 9.494/97, na redação conferida pela Lei nº 11.960/09, sem prejuízo da incidência do que será decidido pelo STF do RE 870.947/SE, com repercussão geral reconhecida, de modo que a deliberação daquela Corte haverá de refletir neste feito, seja para sua manutenção ou mudança.</w:t>
      </w:r>
    </w:p>
    <w:p w:rsidR="00BE7827" w:rsidRPr="00740DBD" w:rsidRDefault="00BE7827" w:rsidP="00BE7827">
      <w:pPr>
        <w:pStyle w:val="ementa"/>
        <w:spacing w:before="0" w:after="0"/>
        <w:rPr>
          <w:rFonts w:eastAsia="Times New Roman" w:cs="Arial"/>
          <w:sz w:val="20"/>
          <w:szCs w:val="20"/>
        </w:rPr>
      </w:pPr>
      <w:r w:rsidRPr="00740DBD">
        <w:rPr>
          <w:rFonts w:cs="Arial"/>
          <w:b/>
          <w:sz w:val="20"/>
          <w:szCs w:val="20"/>
        </w:rPr>
        <w:t>1</w:t>
      </w:r>
      <w:r w:rsidR="00233E72">
        <w:rPr>
          <w:rFonts w:cs="Arial"/>
          <w:b/>
          <w:sz w:val="20"/>
          <w:szCs w:val="20"/>
        </w:rPr>
        <w:t>4</w:t>
      </w:r>
      <w:r w:rsidRPr="00740DBD">
        <w:rPr>
          <w:rFonts w:cs="Arial"/>
          <w:b/>
          <w:sz w:val="20"/>
          <w:szCs w:val="20"/>
        </w:rPr>
        <w:t>.</w:t>
      </w:r>
      <w:r w:rsidRPr="00740DBD">
        <w:rPr>
          <w:rFonts w:cs="Arial"/>
          <w:sz w:val="20"/>
          <w:szCs w:val="20"/>
        </w:rPr>
        <w:t xml:space="preserve"> </w:t>
      </w:r>
      <w:r w:rsidRPr="00740DBD">
        <w:rPr>
          <w:rFonts w:cs="Arial"/>
          <w:b/>
          <w:sz w:val="20"/>
          <w:szCs w:val="20"/>
        </w:rPr>
        <w:t>Apela</w:t>
      </w:r>
      <w:r>
        <w:rPr>
          <w:rFonts w:cs="Arial"/>
          <w:b/>
          <w:sz w:val="20"/>
          <w:szCs w:val="20"/>
        </w:rPr>
        <w:t>ção e</w:t>
      </w:r>
      <w:r w:rsidRPr="00740DBD">
        <w:rPr>
          <w:rFonts w:cs="Arial"/>
          <w:b/>
          <w:sz w:val="20"/>
          <w:szCs w:val="20"/>
        </w:rPr>
        <w:t xml:space="preserve"> Remessa Oficial</w:t>
      </w:r>
      <w:r w:rsidR="00841C98">
        <w:rPr>
          <w:rFonts w:cs="Arial"/>
          <w:b/>
          <w:sz w:val="20"/>
          <w:szCs w:val="20"/>
        </w:rPr>
        <w:t xml:space="preserve">, </w:t>
      </w:r>
      <w:proofErr w:type="gramStart"/>
      <w:r w:rsidR="00841C98">
        <w:rPr>
          <w:rFonts w:cs="Arial"/>
          <w:b/>
          <w:sz w:val="20"/>
          <w:szCs w:val="20"/>
        </w:rPr>
        <w:t>tida por interposta,</w:t>
      </w:r>
      <w:r>
        <w:rPr>
          <w:rFonts w:cs="Arial"/>
          <w:b/>
          <w:sz w:val="20"/>
          <w:szCs w:val="20"/>
        </w:rPr>
        <w:t xml:space="preserve"> </w:t>
      </w:r>
      <w:r w:rsidRPr="00740DBD">
        <w:rPr>
          <w:rFonts w:cs="Arial"/>
          <w:b/>
          <w:sz w:val="20"/>
          <w:szCs w:val="20"/>
        </w:rPr>
        <w:t>parcialmente provida</w:t>
      </w:r>
      <w:r>
        <w:rPr>
          <w:rFonts w:cs="Arial"/>
          <w:b/>
          <w:sz w:val="20"/>
          <w:szCs w:val="20"/>
        </w:rPr>
        <w:t>s</w:t>
      </w:r>
      <w:proofErr w:type="gramEnd"/>
      <w:r w:rsidRPr="00740DBD">
        <w:rPr>
          <w:rFonts w:cs="Arial"/>
          <w:b/>
          <w:sz w:val="20"/>
          <w:szCs w:val="20"/>
        </w:rPr>
        <w:t xml:space="preserve"> (ite</w:t>
      </w:r>
      <w:r w:rsidR="00233E72">
        <w:rPr>
          <w:rFonts w:cs="Arial"/>
          <w:b/>
          <w:sz w:val="20"/>
          <w:szCs w:val="20"/>
        </w:rPr>
        <w:t>ns</w:t>
      </w:r>
      <w:r w:rsidRPr="00740DBD">
        <w:rPr>
          <w:rFonts w:cs="Arial"/>
          <w:b/>
          <w:sz w:val="20"/>
          <w:szCs w:val="20"/>
        </w:rPr>
        <w:t xml:space="preserve"> </w:t>
      </w:r>
      <w:r w:rsidR="00841C98">
        <w:rPr>
          <w:rFonts w:cs="Arial"/>
          <w:b/>
          <w:sz w:val="20"/>
          <w:szCs w:val="20"/>
        </w:rPr>
        <w:t>11</w:t>
      </w:r>
      <w:r w:rsidR="00233E72">
        <w:rPr>
          <w:rFonts w:cs="Arial"/>
          <w:b/>
          <w:sz w:val="20"/>
          <w:szCs w:val="20"/>
        </w:rPr>
        <w:t xml:space="preserve"> e 13</w:t>
      </w:r>
      <w:r w:rsidRPr="00740DBD">
        <w:rPr>
          <w:rFonts w:cs="Arial"/>
          <w:b/>
          <w:sz w:val="20"/>
          <w:szCs w:val="20"/>
        </w:rPr>
        <w:t>).</w:t>
      </w:r>
    </w:p>
    <w:p w:rsidR="00BE7827" w:rsidRPr="0085298D" w:rsidRDefault="00BE7827" w:rsidP="00BE7827">
      <w:pPr>
        <w:pStyle w:val="Ttulo1"/>
        <w:ind w:left="3826" w:firstLine="143"/>
        <w:jc w:val="both"/>
        <w:rPr>
          <w:rFonts w:ascii="Arial" w:hAnsi="Arial" w:cs="Arial"/>
          <w:color w:val="auto"/>
          <w:sz w:val="20"/>
          <w:szCs w:val="20"/>
        </w:rPr>
      </w:pPr>
      <w:r w:rsidRPr="0085298D">
        <w:rPr>
          <w:rFonts w:ascii="Arial" w:hAnsi="Arial" w:cs="Arial"/>
          <w:color w:val="auto"/>
          <w:sz w:val="20"/>
          <w:szCs w:val="20"/>
        </w:rPr>
        <w:t>ACÓRDÃO</w:t>
      </w:r>
    </w:p>
    <w:p w:rsidR="00BE7827" w:rsidRPr="0085298D" w:rsidRDefault="00BE7827" w:rsidP="00BE7827">
      <w:pPr>
        <w:jc w:val="both"/>
        <w:rPr>
          <w:rFonts w:ascii="Arial" w:hAnsi="Arial" w:cs="Arial"/>
          <w:sz w:val="20"/>
          <w:szCs w:val="20"/>
        </w:rPr>
      </w:pPr>
    </w:p>
    <w:p w:rsidR="00BE7827" w:rsidRPr="00B86A8E" w:rsidRDefault="00BE7827" w:rsidP="00B86A8E">
      <w:pPr>
        <w:ind w:firstLine="709"/>
        <w:jc w:val="both"/>
        <w:rPr>
          <w:rFonts w:ascii="Arial" w:hAnsi="Arial" w:cs="Arial"/>
          <w:b/>
          <w:sz w:val="20"/>
          <w:szCs w:val="20"/>
        </w:rPr>
      </w:pPr>
      <w:r w:rsidRPr="0085298D">
        <w:rPr>
          <w:rFonts w:ascii="Arial" w:hAnsi="Arial" w:cs="Arial"/>
          <w:sz w:val="20"/>
          <w:szCs w:val="20"/>
        </w:rPr>
        <w:t xml:space="preserve">Decide a 1ª Primeira Câmara Regional Previdenciária da Bahia do Tribunal Regional Federal da Primeira Região, à unanimidade, </w:t>
      </w:r>
      <w:r>
        <w:rPr>
          <w:rFonts w:ascii="Arial" w:hAnsi="Arial" w:cs="Arial"/>
          <w:b/>
          <w:sz w:val="20"/>
          <w:szCs w:val="20"/>
        </w:rPr>
        <w:t>dar parcial provimento à apelação e à Remessa Oficial</w:t>
      </w:r>
      <w:r w:rsidR="00841C98">
        <w:rPr>
          <w:rFonts w:ascii="Arial" w:hAnsi="Arial" w:cs="Arial"/>
          <w:b/>
          <w:sz w:val="20"/>
          <w:szCs w:val="20"/>
        </w:rPr>
        <w:t>, tida por interposta.</w:t>
      </w:r>
    </w:p>
    <w:p w:rsidR="00BE7827" w:rsidRPr="0085298D" w:rsidRDefault="00BE7827" w:rsidP="00BE7827">
      <w:pPr>
        <w:ind w:firstLine="709"/>
        <w:jc w:val="both"/>
        <w:rPr>
          <w:rFonts w:ascii="Arial" w:hAnsi="Arial" w:cs="Arial"/>
          <w:sz w:val="20"/>
          <w:szCs w:val="20"/>
        </w:rPr>
      </w:pPr>
      <w:r w:rsidRPr="0085298D">
        <w:rPr>
          <w:rFonts w:ascii="Arial" w:hAnsi="Arial" w:cs="Arial"/>
          <w:sz w:val="20"/>
          <w:szCs w:val="20"/>
        </w:rPr>
        <w:t xml:space="preserve">Salvador/BA, </w:t>
      </w:r>
      <w:r w:rsidR="00841C98">
        <w:rPr>
          <w:rFonts w:ascii="Arial" w:hAnsi="Arial" w:cs="Arial"/>
          <w:sz w:val="20"/>
          <w:szCs w:val="20"/>
        </w:rPr>
        <w:t>15</w:t>
      </w:r>
      <w:r w:rsidRPr="0085298D">
        <w:rPr>
          <w:rFonts w:ascii="Arial" w:hAnsi="Arial" w:cs="Arial"/>
          <w:sz w:val="20"/>
          <w:szCs w:val="20"/>
        </w:rPr>
        <w:t xml:space="preserve"> de </w:t>
      </w:r>
      <w:r w:rsidR="00841C98">
        <w:rPr>
          <w:rFonts w:ascii="Arial" w:hAnsi="Arial" w:cs="Arial"/>
          <w:sz w:val="20"/>
          <w:szCs w:val="20"/>
        </w:rPr>
        <w:t>agosto</w:t>
      </w:r>
      <w:r w:rsidRPr="0085298D">
        <w:rPr>
          <w:rFonts w:ascii="Arial" w:hAnsi="Arial" w:cs="Arial"/>
          <w:sz w:val="20"/>
          <w:szCs w:val="20"/>
        </w:rPr>
        <w:t xml:space="preserve"> de 2016</w:t>
      </w:r>
      <w:r>
        <w:rPr>
          <w:rFonts w:ascii="Arial" w:hAnsi="Arial" w:cs="Arial"/>
          <w:sz w:val="20"/>
          <w:szCs w:val="20"/>
        </w:rPr>
        <w:t>.</w:t>
      </w:r>
    </w:p>
    <w:p w:rsidR="00BE7827" w:rsidRDefault="00BE7827" w:rsidP="00BE7827">
      <w:pPr>
        <w:spacing w:after="200"/>
        <w:rPr>
          <w:rFonts w:ascii="Arial" w:hAnsi="Arial" w:cs="Arial"/>
          <w:sz w:val="20"/>
          <w:szCs w:val="20"/>
        </w:rPr>
      </w:pPr>
    </w:p>
    <w:p w:rsidR="00B86A8E" w:rsidRPr="0085298D" w:rsidRDefault="00B86A8E" w:rsidP="00BE7827">
      <w:pPr>
        <w:spacing w:after="200"/>
        <w:rPr>
          <w:rFonts w:ascii="Arial" w:hAnsi="Arial" w:cs="Arial"/>
          <w:sz w:val="20"/>
          <w:szCs w:val="20"/>
        </w:rPr>
      </w:pPr>
    </w:p>
    <w:p w:rsidR="00BE7827" w:rsidRPr="0085298D" w:rsidRDefault="00BE7827" w:rsidP="00BE7827">
      <w:pPr>
        <w:pStyle w:val="Ttulo2"/>
        <w:rPr>
          <w:rFonts w:ascii="Arial" w:hAnsi="Arial" w:cs="Arial"/>
          <w:sz w:val="20"/>
        </w:rPr>
      </w:pPr>
      <w:r w:rsidRPr="0085298D">
        <w:rPr>
          <w:rFonts w:ascii="Arial" w:hAnsi="Arial" w:cs="Arial"/>
          <w:sz w:val="20"/>
        </w:rPr>
        <w:t>Juiz Federal FÁBIO ROGÉRIO FRANÇA SOUZA</w:t>
      </w:r>
    </w:p>
    <w:p w:rsidR="00BE7827" w:rsidRPr="0085298D" w:rsidRDefault="00BE7827" w:rsidP="00BE7827">
      <w:pPr>
        <w:jc w:val="center"/>
        <w:rPr>
          <w:rFonts w:ascii="Arial" w:hAnsi="Arial" w:cs="Arial"/>
          <w:sz w:val="20"/>
          <w:szCs w:val="20"/>
        </w:rPr>
      </w:pPr>
      <w:r w:rsidRPr="0085298D">
        <w:rPr>
          <w:rFonts w:ascii="Arial" w:hAnsi="Arial" w:cs="Arial"/>
          <w:sz w:val="20"/>
          <w:szCs w:val="20"/>
        </w:rPr>
        <w:t>Relator Convocado</w:t>
      </w:r>
    </w:p>
    <w:sectPr w:rsidR="00BE7827" w:rsidRPr="0085298D"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C98" w:rsidRDefault="00841C98">
      <w:r>
        <w:separator/>
      </w:r>
    </w:p>
  </w:endnote>
  <w:endnote w:type="continuationSeparator" w:id="0">
    <w:p w:rsidR="00841C98" w:rsidRDefault="00841C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terleaved 2of5">
    <w:altName w:val="Courier New"/>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C98" w:rsidRDefault="00841C98">
    <w:pPr>
      <w:tabs>
        <w:tab w:val="right" w:pos="9360"/>
      </w:tabs>
    </w:pPr>
    <w:r>
      <w:rPr>
        <w:rFonts w:ascii="Arial" w:hAnsi="Arial"/>
        <w:sz w:val="10"/>
      </w:rPr>
      <w:t>TRF 1ª REGIÃO/IMP.15-02-05</w:t>
    </w:r>
    <w:r>
      <w:rPr>
        <w:rFonts w:ascii="Arial" w:hAnsi="Arial"/>
        <w:sz w:val="10"/>
      </w:rPr>
      <w:tab/>
    </w:r>
    <w:r w:rsidR="00B808D8">
      <w:rPr>
        <w:rFonts w:ascii="Arial" w:hAnsi="Arial"/>
        <w:sz w:val="10"/>
      </w:rPr>
      <w:fldChar w:fldCharType="begin"/>
    </w:r>
    <w:r>
      <w:rPr>
        <w:rFonts w:ascii="Arial" w:hAnsi="Arial"/>
        <w:sz w:val="10"/>
      </w:rPr>
      <w:instrText xml:space="preserve"> FILENAME \p </w:instrText>
    </w:r>
    <w:r w:rsidR="00B808D8">
      <w:rPr>
        <w:rFonts w:ascii="Arial" w:hAnsi="Arial"/>
        <w:sz w:val="10"/>
      </w:rPr>
      <w:fldChar w:fldCharType="separate"/>
    </w:r>
    <w:r w:rsidR="00D975FC">
      <w:rPr>
        <w:rFonts w:ascii="Arial" w:hAnsi="Arial"/>
        <w:noProof/>
        <w:sz w:val="10"/>
      </w:rPr>
      <w:t>W:\GABJU\CRP\Votos e Ementas\Sessão 15-08-16\Apo especial\0005707-76.2013.4.01.3314_EMENTA_AP INSS PARC PROV_RUÍDO_APENAS DESCONSID ESP_MANTEM APO INTEGRAL_JUROS E CM.docx</w:t>
    </w:r>
    <w:r w:rsidR="00B808D8">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C98" w:rsidRDefault="00841C98">
    <w:pPr>
      <w:tabs>
        <w:tab w:val="right" w:pos="9360"/>
      </w:tabs>
      <w:rPr>
        <w:rFonts w:ascii="Arial" w:hAnsi="Arial"/>
        <w:sz w:val="13"/>
      </w:rPr>
    </w:pPr>
    <w:r>
      <w:rPr>
        <w:rFonts w:ascii="Arial" w:hAnsi="Arial"/>
        <w:sz w:val="10"/>
      </w:rPr>
      <w:t>TRF 1ª REGIÃO/IMP.15-02-05</w:t>
    </w:r>
    <w:r>
      <w:rPr>
        <w:rFonts w:ascii="Arial" w:hAnsi="Arial"/>
        <w:sz w:val="10"/>
      </w:rPr>
      <w:tab/>
    </w:r>
    <w:r w:rsidR="00B808D8">
      <w:rPr>
        <w:rFonts w:ascii="Arial" w:hAnsi="Arial"/>
        <w:sz w:val="13"/>
      </w:rPr>
      <w:fldChar w:fldCharType="begin"/>
    </w:r>
    <w:r>
      <w:rPr>
        <w:rFonts w:ascii="Arial" w:hAnsi="Arial"/>
        <w:sz w:val="13"/>
      </w:rPr>
      <w:instrText xml:space="preserve"> FILENAME \p </w:instrText>
    </w:r>
    <w:r w:rsidR="00B808D8">
      <w:rPr>
        <w:rFonts w:ascii="Arial" w:hAnsi="Arial"/>
        <w:sz w:val="13"/>
      </w:rPr>
      <w:fldChar w:fldCharType="separate"/>
    </w:r>
    <w:r w:rsidR="00D975FC">
      <w:rPr>
        <w:rFonts w:ascii="Arial" w:hAnsi="Arial"/>
        <w:noProof/>
        <w:sz w:val="13"/>
      </w:rPr>
      <w:t>W:\GABJU\CRP\Votos e Ementas\Sessão 15-08-16\Apo especial\0005707-76.2013.4.01.3314_EMENTA_AP INSS PARC PROV_RUÍDO_APENAS DESCONSID ESP_MANTEM APO INTEGRAL_JUROS E CM.docx</w:t>
    </w:r>
    <w:r w:rsidR="00B808D8">
      <w:rPr>
        <w:rFonts w:ascii="Arial" w:hAnsi="Arial"/>
        <w:sz w:val="13"/>
      </w:rPr>
      <w:fldChar w:fldCharType="end"/>
    </w:r>
  </w:p>
  <w:p w:rsidR="00841C98" w:rsidRDefault="00841C98">
    <w:pPr>
      <w:tabs>
        <w:tab w:val="right" w:pos="9360"/>
      </w:tabs>
      <w:rPr>
        <w:sz w:val="13"/>
      </w:rPr>
    </w:pPr>
    <w:r>
      <w:rPr>
        <w:rFonts w:ascii="Arial" w:hAnsi="Arial"/>
        <w:sz w:val="13"/>
      </w:rPr>
      <w:t xml:space="preserve">Criado por </w:t>
    </w:r>
    <w:r w:rsidR="00B808D8">
      <w:rPr>
        <w:rFonts w:ascii="Arial" w:hAnsi="Arial"/>
        <w:sz w:val="13"/>
      </w:rPr>
      <w:fldChar w:fldCharType="begin"/>
    </w:r>
    <w:r>
      <w:rPr>
        <w:rFonts w:ascii="Arial" w:hAnsi="Arial"/>
        <w:sz w:val="13"/>
      </w:rPr>
      <w:instrText xml:space="preserve"> AUTHOR </w:instrText>
    </w:r>
    <w:r w:rsidR="00B808D8">
      <w:rPr>
        <w:rFonts w:ascii="Arial" w:hAnsi="Arial"/>
        <w:sz w:val="13"/>
      </w:rPr>
      <w:fldChar w:fldCharType="separate"/>
    </w:r>
    <w:r w:rsidR="00D975FC">
      <w:rPr>
        <w:rFonts w:ascii="Arial" w:hAnsi="Arial"/>
        <w:noProof/>
        <w:sz w:val="13"/>
      </w:rPr>
      <w:t>TR300321</w:t>
    </w:r>
    <w:r w:rsidR="00B808D8">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C98" w:rsidRDefault="00841C98">
      <w:r>
        <w:separator/>
      </w:r>
    </w:p>
  </w:footnote>
  <w:footnote w:type="continuationSeparator" w:id="0">
    <w:p w:rsidR="00841C98" w:rsidRDefault="00841C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C98" w:rsidRDefault="00841C98">
    <w:pPr>
      <w:spacing w:before="120"/>
      <w:rPr>
        <w:rFonts w:ascii="Arial" w:hAnsi="Arial"/>
        <w:sz w:val="16"/>
      </w:rPr>
    </w:pPr>
    <w:r>
      <w:rPr>
        <w:rFonts w:ascii="Arial" w:hAnsi="Arial"/>
        <w:sz w:val="16"/>
      </w:rPr>
      <w:t>PODER JUDICIÁRIO</w:t>
    </w:r>
  </w:p>
  <w:p w:rsidR="00841C98" w:rsidRDefault="00841C98">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B808D8">
      <w:rPr>
        <w:rFonts w:ascii="Arial" w:hAnsi="Arial" w:cs="Arial"/>
        <w:bCs/>
        <w:sz w:val="16"/>
      </w:rPr>
      <w:fldChar w:fldCharType="begin"/>
    </w:r>
    <w:r>
      <w:rPr>
        <w:rFonts w:ascii="Arial" w:hAnsi="Arial" w:cs="Arial"/>
        <w:bCs/>
        <w:sz w:val="16"/>
      </w:rPr>
      <w:instrText xml:space="preserve"> PAGE </w:instrText>
    </w:r>
    <w:r w:rsidR="00B808D8">
      <w:rPr>
        <w:rFonts w:ascii="Arial" w:hAnsi="Arial" w:cs="Arial"/>
        <w:bCs/>
        <w:sz w:val="16"/>
      </w:rPr>
      <w:fldChar w:fldCharType="separate"/>
    </w:r>
    <w:r w:rsidR="00D975FC">
      <w:rPr>
        <w:rFonts w:ascii="Arial" w:hAnsi="Arial" w:cs="Arial"/>
        <w:bCs/>
        <w:noProof/>
        <w:sz w:val="16"/>
      </w:rPr>
      <w:t>2</w:t>
    </w:r>
    <w:r w:rsidR="00B808D8">
      <w:rPr>
        <w:rFonts w:ascii="Arial" w:hAnsi="Arial" w:cs="Arial"/>
        <w:bCs/>
        <w:sz w:val="16"/>
      </w:rPr>
      <w:fldChar w:fldCharType="end"/>
    </w:r>
    <w:r>
      <w:rPr>
        <w:rFonts w:ascii="Arial" w:hAnsi="Arial" w:cs="Arial"/>
        <w:bCs/>
        <w:sz w:val="16"/>
      </w:rPr>
      <w:t>/</w:t>
    </w:r>
    <w:r w:rsidR="00B808D8">
      <w:rPr>
        <w:rFonts w:ascii="Arial" w:hAnsi="Arial" w:cs="Arial"/>
        <w:bCs/>
        <w:sz w:val="16"/>
      </w:rPr>
      <w:fldChar w:fldCharType="begin"/>
    </w:r>
    <w:r>
      <w:rPr>
        <w:rFonts w:ascii="Arial" w:hAnsi="Arial" w:cs="Arial"/>
        <w:bCs/>
        <w:sz w:val="16"/>
      </w:rPr>
      <w:instrText xml:space="preserve"> NUMPAGES </w:instrText>
    </w:r>
    <w:r w:rsidR="00B808D8">
      <w:rPr>
        <w:rFonts w:ascii="Arial" w:hAnsi="Arial" w:cs="Arial"/>
        <w:bCs/>
        <w:sz w:val="16"/>
      </w:rPr>
      <w:fldChar w:fldCharType="separate"/>
    </w:r>
    <w:r w:rsidR="00D975FC">
      <w:rPr>
        <w:rFonts w:ascii="Arial" w:hAnsi="Arial" w:cs="Arial"/>
        <w:bCs/>
        <w:noProof/>
        <w:sz w:val="16"/>
      </w:rPr>
      <w:t>2</w:t>
    </w:r>
    <w:r w:rsidR="00B808D8">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0" w:type="dxa"/>
      <w:tblLayout w:type="fixed"/>
      <w:tblCellMar>
        <w:left w:w="70" w:type="dxa"/>
        <w:right w:w="70" w:type="dxa"/>
      </w:tblCellMar>
      <w:tblLook w:val="0000"/>
    </w:tblPr>
    <w:tblGrid>
      <w:gridCol w:w="9900"/>
    </w:tblGrid>
    <w:tr w:rsidR="00841C98" w:rsidRPr="00A6177A" w:rsidTr="00841C98">
      <w:tc>
        <w:tcPr>
          <w:tcW w:w="2000" w:type="dxa"/>
          <w:shd w:val="clear" w:color="auto" w:fill="auto"/>
        </w:tcPr>
        <w:p w:rsidR="00841C98" w:rsidRPr="00A6177A" w:rsidRDefault="00841C98" w:rsidP="00A6177A">
          <w:pPr>
            <w:jc w:val="right"/>
            <w:rPr>
              <w:rFonts w:ascii="Interleaved 2of5" w:hAnsi="Interleaved 2of5"/>
              <w:sz w:val="48"/>
            </w:rPr>
          </w:pPr>
        </w:p>
        <w:p w:rsidR="00841C98" w:rsidRPr="00A6177A" w:rsidRDefault="00841C98" w:rsidP="00841C98">
          <w:pPr>
            <w:rPr>
              <w:rFonts w:ascii="Interleaved 2of5" w:hAnsi="Interleaved 2of5"/>
              <w:sz w:val="48"/>
            </w:rPr>
          </w:pPr>
        </w:p>
      </w:tc>
    </w:tr>
  </w:tbl>
  <w:p w:rsidR="00841C98" w:rsidRDefault="00841C98" w:rsidP="00A6177A">
    <w:pPr>
      <w:spacing w:before="120"/>
      <w:rPr>
        <w:rFonts w:ascii="Arial" w:hAnsi="Arial"/>
        <w:sz w:val="16"/>
      </w:rPr>
    </w:pPr>
  </w:p>
  <w:p w:rsidR="00841C98" w:rsidRDefault="00841C98"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841C98" w:rsidRDefault="00841C98" w:rsidP="004554A7">
    <w:pPr>
      <w:spacing w:before="120"/>
      <w:jc w:val="center"/>
      <w:rPr>
        <w:rFonts w:ascii="Arial" w:hAnsi="Arial"/>
        <w:sz w:val="16"/>
      </w:rPr>
    </w:pPr>
    <w:r>
      <w:rPr>
        <w:rFonts w:ascii="Arial" w:hAnsi="Arial"/>
        <w:sz w:val="16"/>
      </w:rPr>
      <w:t>PODER JUDICIÁRIO</w:t>
    </w:r>
  </w:p>
  <w:p w:rsidR="00841C98" w:rsidRDefault="00841C98"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7B4B74"/>
    <w:rsid w:val="001446BB"/>
    <w:rsid w:val="0015179D"/>
    <w:rsid w:val="00191A8C"/>
    <w:rsid w:val="002331F7"/>
    <w:rsid w:val="00233E72"/>
    <w:rsid w:val="003B5F89"/>
    <w:rsid w:val="00413610"/>
    <w:rsid w:val="004269A8"/>
    <w:rsid w:val="004554A7"/>
    <w:rsid w:val="00462716"/>
    <w:rsid w:val="00471CDF"/>
    <w:rsid w:val="004C17AC"/>
    <w:rsid w:val="005E20DB"/>
    <w:rsid w:val="006779DE"/>
    <w:rsid w:val="006A4ECE"/>
    <w:rsid w:val="007A7066"/>
    <w:rsid w:val="007B4B74"/>
    <w:rsid w:val="007C3424"/>
    <w:rsid w:val="007C721B"/>
    <w:rsid w:val="00841C98"/>
    <w:rsid w:val="008713AE"/>
    <w:rsid w:val="00872397"/>
    <w:rsid w:val="008A3D69"/>
    <w:rsid w:val="008C4395"/>
    <w:rsid w:val="0099169E"/>
    <w:rsid w:val="00A6177A"/>
    <w:rsid w:val="00B808D8"/>
    <w:rsid w:val="00B86A8E"/>
    <w:rsid w:val="00BA1661"/>
    <w:rsid w:val="00BE7827"/>
    <w:rsid w:val="00C5492A"/>
    <w:rsid w:val="00D221D6"/>
    <w:rsid w:val="00D975FC"/>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46BB"/>
    <w:rPr>
      <w:rFonts w:eastAsia="Calibri"/>
      <w:sz w:val="24"/>
      <w:szCs w:val="24"/>
    </w:rPr>
  </w:style>
  <w:style w:type="paragraph" w:styleId="Ttulo1">
    <w:name w:val="heading 1"/>
    <w:basedOn w:val="Normal"/>
    <w:next w:val="Normal"/>
    <w:link w:val="Ttulo1Char"/>
    <w:uiPriority w:val="9"/>
    <w:qFormat/>
    <w:rsid w:val="00BE782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1446BB"/>
    <w:pPr>
      <w:keepNext/>
      <w:jc w:val="center"/>
      <w:outlineLvl w:val="1"/>
    </w:pPr>
    <w:rPr>
      <w:b/>
      <w:sz w:val="4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7B4B74"/>
    <w:pPr>
      <w:spacing w:before="0" w:after="0"/>
    </w:pPr>
  </w:style>
  <w:style w:type="paragraph" w:customStyle="1" w:styleId="ementa">
    <w:name w:val="ementa"/>
    <w:basedOn w:val="Pargrafo"/>
    <w:link w:val="ementaChar"/>
    <w:rsid w:val="002331F7"/>
    <w:pPr>
      <w:ind w:firstLine="0"/>
    </w:pPr>
  </w:style>
  <w:style w:type="paragraph" w:customStyle="1" w:styleId="Pargrafo">
    <w:name w:val="Parágrafo"/>
    <w:basedOn w:val="Normal"/>
    <w:link w:val="PargrafoChar"/>
    <w:rsid w:val="007B4B74"/>
    <w:pPr>
      <w:spacing w:before="120" w:after="120"/>
      <w:ind w:firstLine="1418"/>
      <w:jc w:val="both"/>
    </w:pPr>
    <w:rPr>
      <w:rFonts w:ascii="Arial" w:hAnsi="Arial"/>
      <w:sz w:val="22"/>
    </w:rPr>
  </w:style>
  <w:style w:type="paragraph" w:customStyle="1" w:styleId="centralizar">
    <w:name w:val="centralizar"/>
    <w:basedOn w:val="Pargrafo"/>
    <w:next w:val="Pargrafo"/>
    <w:rsid w:val="007B4B74"/>
    <w:pPr>
      <w:spacing w:before="360" w:after="360"/>
      <w:ind w:firstLine="0"/>
      <w:jc w:val="center"/>
    </w:pPr>
    <w:rPr>
      <w:b/>
    </w:rPr>
  </w:style>
  <w:style w:type="paragraph" w:customStyle="1" w:styleId="Transcrio">
    <w:name w:val="Transcrição"/>
    <w:basedOn w:val="Pargrafo"/>
    <w:rsid w:val="007B4B74"/>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7B4B74"/>
    <w:pPr>
      <w:ind w:left="2835"/>
    </w:pPr>
  </w:style>
  <w:style w:type="paragraph" w:customStyle="1" w:styleId="transcrio3">
    <w:name w:val="transcrição 3"/>
    <w:basedOn w:val="Identificao"/>
    <w:rsid w:val="007B4B74"/>
    <w:pPr>
      <w:ind w:left="3686"/>
    </w:pPr>
    <w:rPr>
      <w:i/>
      <w:iCs/>
    </w:rPr>
  </w:style>
  <w:style w:type="paragraph" w:customStyle="1" w:styleId="transcrio4">
    <w:name w:val="transcrição 4"/>
    <w:basedOn w:val="transcrio3"/>
    <w:rsid w:val="007B4B74"/>
    <w:pPr>
      <w:ind w:left="4536"/>
    </w:pPr>
  </w:style>
  <w:style w:type="paragraph" w:customStyle="1" w:styleId="assinatura">
    <w:name w:val="assinatura"/>
    <w:basedOn w:val="Pargrafo"/>
    <w:rsid w:val="007B4B74"/>
    <w:pPr>
      <w:spacing w:before="0" w:after="0"/>
      <w:ind w:firstLine="0"/>
      <w:jc w:val="center"/>
    </w:pPr>
  </w:style>
  <w:style w:type="paragraph" w:customStyle="1" w:styleId="Pargrafo2">
    <w:name w:val="Parágrafo 2"/>
    <w:basedOn w:val="Pargrafo"/>
    <w:rsid w:val="007B4B74"/>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A6177A"/>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A6177A"/>
    <w:rPr>
      <w:rFonts w:ascii="Consolas" w:eastAsiaTheme="minorHAnsi" w:hAnsi="Consolas" w:cstheme="minorBidi"/>
      <w:sz w:val="21"/>
      <w:szCs w:val="21"/>
      <w:lang w:eastAsia="en-US"/>
    </w:rPr>
  </w:style>
  <w:style w:type="paragraph" w:styleId="Textodebalo">
    <w:name w:val="Balloon Text"/>
    <w:basedOn w:val="Normal"/>
    <w:link w:val="TextodebaloChar"/>
    <w:rsid w:val="001446BB"/>
    <w:rPr>
      <w:rFonts w:ascii="Tahoma" w:hAnsi="Tahoma" w:cs="Tahoma"/>
      <w:sz w:val="16"/>
      <w:szCs w:val="16"/>
    </w:rPr>
  </w:style>
  <w:style w:type="character" w:customStyle="1" w:styleId="TextodebaloChar">
    <w:name w:val="Texto de balão Char"/>
    <w:basedOn w:val="Fontepargpadro"/>
    <w:link w:val="Textodebalo"/>
    <w:rsid w:val="001446BB"/>
    <w:rPr>
      <w:rFonts w:ascii="Tahoma" w:hAnsi="Tahoma" w:cs="Tahoma"/>
      <w:sz w:val="16"/>
      <w:szCs w:val="16"/>
    </w:rPr>
  </w:style>
  <w:style w:type="character" w:customStyle="1" w:styleId="Ttulo2Char">
    <w:name w:val="Título 2 Char"/>
    <w:basedOn w:val="Fontepargpadro"/>
    <w:link w:val="Ttulo2"/>
    <w:semiHidden/>
    <w:rsid w:val="001446BB"/>
    <w:rPr>
      <w:rFonts w:eastAsia="Calibri"/>
      <w:b/>
      <w:sz w:val="40"/>
    </w:rPr>
  </w:style>
  <w:style w:type="paragraph" w:styleId="Recuodecorpodetexto2">
    <w:name w:val="Body Text Indent 2"/>
    <w:basedOn w:val="Normal"/>
    <w:link w:val="Recuodecorpodetexto2Char"/>
    <w:unhideWhenUsed/>
    <w:rsid w:val="001446BB"/>
    <w:pPr>
      <w:spacing w:after="120" w:line="480" w:lineRule="auto"/>
      <w:ind w:left="283"/>
    </w:pPr>
  </w:style>
  <w:style w:type="character" w:customStyle="1" w:styleId="Recuodecorpodetexto2Char">
    <w:name w:val="Recuo de corpo de texto 2 Char"/>
    <w:basedOn w:val="Fontepargpadro"/>
    <w:link w:val="Recuodecorpodetexto2"/>
    <w:rsid w:val="001446BB"/>
    <w:rPr>
      <w:rFonts w:eastAsia="Calibri"/>
      <w:sz w:val="24"/>
      <w:szCs w:val="24"/>
    </w:rPr>
  </w:style>
  <w:style w:type="character" w:customStyle="1" w:styleId="ementaChar">
    <w:name w:val="ementa Char"/>
    <w:link w:val="ementa"/>
    <w:locked/>
    <w:rsid w:val="001446BB"/>
    <w:rPr>
      <w:rFonts w:ascii="Arial" w:hAnsi="Arial"/>
      <w:sz w:val="22"/>
      <w:szCs w:val="24"/>
    </w:rPr>
  </w:style>
  <w:style w:type="character" w:customStyle="1" w:styleId="PargrafoChar">
    <w:name w:val="Parágrafo Char"/>
    <w:basedOn w:val="Fontepargpadro"/>
    <w:link w:val="Pargrafo"/>
    <w:locked/>
    <w:rsid w:val="001446BB"/>
    <w:rPr>
      <w:rFonts w:ascii="Arial" w:hAnsi="Arial"/>
      <w:sz w:val="22"/>
      <w:szCs w:val="24"/>
    </w:rPr>
  </w:style>
  <w:style w:type="character" w:customStyle="1" w:styleId="Ttulo1Char">
    <w:name w:val="Título 1 Char"/>
    <w:basedOn w:val="Fontepargpadro"/>
    <w:link w:val="Ttulo1"/>
    <w:uiPriority w:val="9"/>
    <w:rsid w:val="00BE782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18</TotalTime>
  <Pages>2</Pages>
  <Words>1343</Words>
  <Characters>7312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trf1</Company>
  <LinksUpToDate>false</LinksUpToDate>
  <CharactersWithSpaces>8638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TR300321</dc:creator>
  <cp:lastModifiedBy>ba363803</cp:lastModifiedBy>
  <cp:revision>7</cp:revision>
  <cp:lastPrinted>2016-08-16T20:35:00Z</cp:lastPrinted>
  <dcterms:created xsi:type="dcterms:W3CDTF">2016-07-01T15:58:00Z</dcterms:created>
  <dcterms:modified xsi:type="dcterms:W3CDTF">2016-08-16T22:04:00Z</dcterms:modified>
</cp:coreProperties>
</file>