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E5A" w:rsidRDefault="00006E5A" w:rsidP="001455DF">
      <w:pPr>
        <w:pStyle w:val="TextosemFormatao"/>
        <w:rPr>
          <w:rFonts w:ascii="Courier New" w:hAnsi="Courier New" w:cs="Courier New"/>
        </w:rPr>
      </w:pPr>
    </w:p>
    <w:p w:rsidR="00006E5A" w:rsidRPr="001455DF" w:rsidRDefault="00006E5A" w:rsidP="00006E5A">
      <w:pPr>
        <w:pStyle w:val="Identificao"/>
      </w:pPr>
      <w:r w:rsidRPr="001455DF">
        <w:t xml:space="preserve">Numeração Única: 57077620134013314 </w:t>
      </w:r>
    </w:p>
    <w:p w:rsidR="00006E5A" w:rsidRPr="001455DF" w:rsidRDefault="00006E5A" w:rsidP="00006E5A">
      <w:pPr>
        <w:pStyle w:val="Identificao"/>
      </w:pPr>
      <w:r w:rsidRPr="001455DF">
        <w:t>APELAÇÃO CÍVEL</w:t>
      </w:r>
      <w:proofErr w:type="gramStart"/>
      <w:r w:rsidRPr="001455DF">
        <w:t xml:space="preserve">  </w:t>
      </w:r>
      <w:proofErr w:type="gramEnd"/>
      <w:r w:rsidRPr="001455DF">
        <w:t>0005707-76.2013.4.01.3314/BA</w:t>
      </w:r>
    </w:p>
    <w:p w:rsidR="00006E5A" w:rsidRPr="001455DF" w:rsidRDefault="00006E5A" w:rsidP="00006E5A">
      <w:pPr>
        <w:pStyle w:val="Identificao"/>
      </w:pPr>
      <w:r w:rsidRPr="001455DF">
        <w:t>Processo na Origem: 57077620134013314</w:t>
      </w:r>
    </w:p>
    <w:p w:rsidR="00006E5A" w:rsidRDefault="00006E5A" w:rsidP="00006E5A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proofErr w:type="gramStart"/>
            <w:r w:rsidRPr="00006E5A">
              <w:t>RELATOR(</w:t>
            </w:r>
            <w:proofErr w:type="gramEnd"/>
            <w:r w:rsidRPr="00006E5A">
              <w:t>A)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JUIZ FEDERAL POMPEU DE SOUSA BRASIL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APELANTE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INSTITUTO NACIONAL DO SEGURO SOCIAL - INSS 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ADRIANA MAIA VENTURINI 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APELADO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DAMAZIO ALBERTO LUCIANO </w:t>
            </w:r>
          </w:p>
        </w:tc>
      </w:tr>
      <w:tr w:rsidR="00006E5A" w:rsidRPr="00006E5A" w:rsidTr="00006E5A">
        <w:tc>
          <w:tcPr>
            <w:tcW w:w="20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ADVOGADO</w:t>
            </w:r>
          </w:p>
        </w:tc>
        <w:tc>
          <w:tcPr>
            <w:tcW w:w="3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>:</w:t>
            </w:r>
          </w:p>
        </w:tc>
        <w:tc>
          <w:tcPr>
            <w:tcW w:w="7600" w:type="dxa"/>
            <w:shd w:val="clear" w:color="auto" w:fill="auto"/>
          </w:tcPr>
          <w:p w:rsidR="00006E5A" w:rsidRPr="00006E5A" w:rsidRDefault="00006E5A" w:rsidP="00006E5A">
            <w:pPr>
              <w:pStyle w:val="Identificao"/>
            </w:pPr>
            <w:r w:rsidRPr="00006E5A">
              <w:t xml:space="preserve">BA00010262 - JOAO MARCOS SANCHES GREGORIO </w:t>
            </w:r>
          </w:p>
        </w:tc>
      </w:tr>
    </w:tbl>
    <w:p w:rsidR="00006E5A" w:rsidRDefault="00006E5A" w:rsidP="00006E5A">
      <w:pPr>
        <w:pStyle w:val="Identificao"/>
      </w:pPr>
    </w:p>
    <w:p w:rsidR="00EB776E" w:rsidRDefault="00EB776E" w:rsidP="00EB776E">
      <w:pPr>
        <w:pStyle w:val="Recuodecorpodetexto2"/>
        <w:spacing w:line="360" w:lineRule="auto"/>
        <w:ind w:left="0"/>
        <w:jc w:val="center"/>
        <w:rPr>
          <w:b/>
        </w:rPr>
      </w:pPr>
      <w:r>
        <w:rPr>
          <w:b/>
        </w:rPr>
        <w:t>RELATÓRIO</w:t>
      </w:r>
    </w:p>
    <w:p w:rsidR="00EB776E" w:rsidRDefault="00EB776E" w:rsidP="00EB776E">
      <w:pPr>
        <w:pStyle w:val="Recuodecorpodetexto2"/>
        <w:spacing w:line="360" w:lineRule="auto"/>
        <w:ind w:left="0" w:firstLine="1134"/>
        <w:jc w:val="both"/>
      </w:pPr>
      <w:r>
        <w:t xml:space="preserve">Trata-se de </w:t>
      </w:r>
      <w:r>
        <w:rPr>
          <w:i/>
        </w:rPr>
        <w:t>Embargos de Declaração</w:t>
      </w:r>
      <w:r>
        <w:t xml:space="preserve"> interpostos pelo INSS em face de acórdão proferido por esta Câmara, visando </w:t>
      </w:r>
      <w:proofErr w:type="gramStart"/>
      <w:r>
        <w:t>a</w:t>
      </w:r>
      <w:proofErr w:type="gramEnd"/>
      <w:r>
        <w:t xml:space="preserve"> reapreciação de períodos enquadrados como especiais, bem como o </w:t>
      </w:r>
      <w:proofErr w:type="spellStart"/>
      <w:r>
        <w:t>prequestionamento</w:t>
      </w:r>
      <w:proofErr w:type="spellEnd"/>
      <w:r>
        <w:t xml:space="preserve"> da matéria afim.</w:t>
      </w:r>
    </w:p>
    <w:p w:rsidR="00EB776E" w:rsidRDefault="00EB776E" w:rsidP="00EB776E">
      <w:pPr>
        <w:pStyle w:val="Recuodecorpodetexto2"/>
        <w:spacing w:line="360" w:lineRule="auto"/>
        <w:ind w:left="0" w:firstLine="1134"/>
        <w:jc w:val="both"/>
        <w:rPr>
          <w:b/>
        </w:rPr>
      </w:pPr>
      <w:r>
        <w:t>É o relatório.</w:t>
      </w:r>
    </w:p>
    <w:p w:rsidR="00EB776E" w:rsidRDefault="00EB776E" w:rsidP="00EB776E">
      <w:pPr>
        <w:pStyle w:val="Recuodecorpodetexto2"/>
        <w:spacing w:line="360" w:lineRule="auto"/>
        <w:ind w:left="0"/>
        <w:jc w:val="center"/>
        <w:rPr>
          <w:b/>
        </w:rPr>
      </w:pPr>
      <w:r>
        <w:rPr>
          <w:b/>
        </w:rPr>
        <w:t>VOTO</w:t>
      </w:r>
    </w:p>
    <w:p w:rsidR="00EB776E" w:rsidRDefault="00EB776E" w:rsidP="00EB776E">
      <w:pPr>
        <w:pStyle w:val="ementa"/>
        <w:spacing w:line="360" w:lineRule="aut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Os embargos de declaração constituem recurso com fundamentação restrita aos casos de obscuridade, contradição, omissão e erro material do julgado (art. 1.022 do CPC/2015; art. 535 do CPC/1973), sendo certo que, embora possam excepcionalmente ostentar caráter infringente, não são </w:t>
      </w:r>
      <w:proofErr w:type="spellStart"/>
      <w:r>
        <w:rPr>
          <w:rFonts w:ascii="Times New Roman" w:hAnsi="Times New Roman"/>
          <w:sz w:val="24"/>
        </w:rPr>
        <w:t>vocacionados</w:t>
      </w:r>
      <w:proofErr w:type="spellEnd"/>
      <w:r>
        <w:rPr>
          <w:rFonts w:ascii="Times New Roman" w:hAnsi="Times New Roman"/>
          <w:sz w:val="24"/>
        </w:rPr>
        <w:t xml:space="preserve"> à alteração substancial do édito.</w:t>
      </w:r>
    </w:p>
    <w:p w:rsidR="00EB776E" w:rsidRDefault="00EB776E" w:rsidP="00EB776E">
      <w:pPr>
        <w:pStyle w:val="ementa"/>
        <w:spacing w:line="360" w:lineRule="aut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Nessa linha de intelecção, a legislação exige a indicação específica do vício a sanar (art. 1.023 do NCPC), o que, </w:t>
      </w:r>
      <w:r>
        <w:rPr>
          <w:rFonts w:ascii="Times New Roman" w:hAnsi="Times New Roman"/>
          <w:i/>
          <w:sz w:val="24"/>
        </w:rPr>
        <w:t>per se</w:t>
      </w:r>
      <w:r>
        <w:rPr>
          <w:rFonts w:ascii="Times New Roman" w:hAnsi="Times New Roman"/>
          <w:sz w:val="24"/>
        </w:rPr>
        <w:t>, afasta a possibilidade de simples menção a uma daquelas hipóteses para o manejo dos declaratórios.</w:t>
      </w:r>
    </w:p>
    <w:p w:rsidR="00EB776E" w:rsidRDefault="00EB776E" w:rsidP="00EB776E">
      <w:pPr>
        <w:pStyle w:val="ementa"/>
        <w:spacing w:line="360" w:lineRule="aut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Por outro lado, saliente-se que o defeito passível de correção por meio da presente via é aquele intrínseco ao provimento questionado, não sendo eventual dissenso jurisprudencial, alteração no posicionamento do órgão colegiado, antagonismo em relação ao entendimento da parte ou mesmo ao ordenamento jurídico, fundamento para o cabimento de tal espécie recursal. Ademais, o dever de motivação não exige que o julgador se pronuncie “</w:t>
      </w:r>
      <w:r>
        <w:rPr>
          <w:rFonts w:ascii="Times New Roman" w:hAnsi="Times New Roman"/>
          <w:i/>
          <w:sz w:val="24"/>
        </w:rPr>
        <w:t>sobre todos os argumentos declinados pelas partes, bastando que decida todas as questões submetidas ao seu julgamento com fundamentação suficiente a amparar suas conclusões</w:t>
      </w:r>
      <w:proofErr w:type="gramStart"/>
      <w:r>
        <w:rPr>
          <w:rFonts w:ascii="Times New Roman" w:hAnsi="Times New Roman"/>
          <w:sz w:val="24"/>
        </w:rPr>
        <w:t>”(</w:t>
      </w:r>
      <w:proofErr w:type="spellStart"/>
      <w:proofErr w:type="gramEnd"/>
      <w:r>
        <w:rPr>
          <w:rFonts w:ascii="Times New Roman" w:hAnsi="Times New Roman"/>
          <w:sz w:val="24"/>
        </w:rPr>
        <w:t>AgInt</w:t>
      </w:r>
      <w:proofErr w:type="spellEnd"/>
      <w:r>
        <w:rPr>
          <w:rFonts w:ascii="Times New Roman" w:hAnsi="Times New Roman"/>
          <w:sz w:val="24"/>
        </w:rPr>
        <w:t xml:space="preserve"> no </w:t>
      </w:r>
      <w:proofErr w:type="spellStart"/>
      <w:r>
        <w:rPr>
          <w:rFonts w:ascii="Times New Roman" w:hAnsi="Times New Roman"/>
          <w:sz w:val="24"/>
        </w:rPr>
        <w:t>REsp</w:t>
      </w:r>
      <w:proofErr w:type="spellEnd"/>
      <w:r>
        <w:rPr>
          <w:rFonts w:ascii="Times New Roman" w:hAnsi="Times New Roman"/>
          <w:sz w:val="24"/>
        </w:rPr>
        <w:t xml:space="preserve"> 1447043/SP, Rel. Ministro MARCO AURÉLIO BELLIZZE, Terceira Turma, julgado em 23/06/2016, </w:t>
      </w:r>
      <w:proofErr w:type="spellStart"/>
      <w:r>
        <w:rPr>
          <w:rFonts w:ascii="Times New Roman" w:hAnsi="Times New Roman"/>
          <w:sz w:val="24"/>
        </w:rPr>
        <w:t>DJe</w:t>
      </w:r>
      <w:proofErr w:type="spellEnd"/>
      <w:r>
        <w:rPr>
          <w:rFonts w:ascii="Times New Roman" w:hAnsi="Times New Roman"/>
          <w:sz w:val="24"/>
        </w:rPr>
        <w:t xml:space="preserve"> 01/07/2016).</w:t>
      </w:r>
    </w:p>
    <w:p w:rsidR="00EB776E" w:rsidRDefault="00EB776E" w:rsidP="00EB776E">
      <w:pPr>
        <w:pStyle w:val="ementa"/>
        <w:spacing w:line="360" w:lineRule="aut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lastRenderedPageBreak/>
        <w:t xml:space="preserve">In </w:t>
      </w:r>
      <w:proofErr w:type="spellStart"/>
      <w:r>
        <w:rPr>
          <w:rFonts w:ascii="Times New Roman" w:hAnsi="Times New Roman"/>
          <w:i/>
          <w:sz w:val="24"/>
        </w:rPr>
        <w:t>casu</w:t>
      </w:r>
      <w:proofErr w:type="spellEnd"/>
      <w:r>
        <w:rPr>
          <w:rFonts w:ascii="Times New Roman" w:hAnsi="Times New Roman"/>
          <w:sz w:val="24"/>
        </w:rPr>
        <w:t xml:space="preserve">, não obstante a alegação do recorrente, não se confirma a existência de “omissão e contradição” no aresto questionado, na medida em que houve clara abordagem dos elementos de convicção que embasaram o enquadramento especial dos períodos questionados. </w:t>
      </w:r>
    </w:p>
    <w:p w:rsidR="00EB776E" w:rsidRDefault="00EB776E" w:rsidP="00EB776E">
      <w:pPr>
        <w:pStyle w:val="ementa"/>
        <w:spacing w:line="360" w:lineRule="aut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Verifica-se que o embargante pretende, em verdade, a rediscussão das matérias contempladas nos respectivos capítulos do julgado, insurgência que reclama a interposição de recurso próprio, dirigido à instância superior.</w:t>
      </w:r>
    </w:p>
    <w:p w:rsidR="00EB776E" w:rsidRDefault="00EB776E" w:rsidP="00EB776E">
      <w:pPr>
        <w:pStyle w:val="ementa"/>
        <w:spacing w:line="360" w:lineRule="auto"/>
        <w:ind w:firstLine="113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Vale salientar, ademais, que a jurisprudência encontra-se consolidada no sentido de que “</w:t>
      </w:r>
      <w:r>
        <w:rPr>
          <w:rFonts w:ascii="Times New Roman" w:hAnsi="Times New Roman"/>
          <w:i/>
          <w:sz w:val="24"/>
        </w:rPr>
        <w:t xml:space="preserve">ainda que para fins de </w:t>
      </w:r>
      <w:proofErr w:type="spellStart"/>
      <w:r>
        <w:rPr>
          <w:rFonts w:ascii="Times New Roman" w:hAnsi="Times New Roman"/>
          <w:i/>
          <w:sz w:val="24"/>
        </w:rPr>
        <w:t>prequestionamento</w:t>
      </w:r>
      <w:proofErr w:type="spellEnd"/>
      <w:r>
        <w:rPr>
          <w:rFonts w:ascii="Times New Roman" w:hAnsi="Times New Roman"/>
          <w:i/>
          <w:sz w:val="24"/>
        </w:rPr>
        <w:t xml:space="preserve">, os embargos de declaração somente são cabíveis quando houver omissão, obscuridade e/ou contradição na decisão embargada (STJ, EAGRAR nº 3204/DF, Relator Ministro Castro Meira, Primeira Seção, DJU 05/06/2006, p. 230; </w:t>
      </w:r>
      <w:proofErr w:type="spellStart"/>
      <w:proofErr w:type="gramStart"/>
      <w:r>
        <w:rPr>
          <w:rFonts w:ascii="Times New Roman" w:hAnsi="Times New Roman"/>
          <w:i/>
          <w:sz w:val="24"/>
        </w:rPr>
        <w:t>EDcl</w:t>
      </w:r>
      <w:proofErr w:type="spellEnd"/>
      <w:proofErr w:type="gramEnd"/>
      <w:r>
        <w:rPr>
          <w:rFonts w:ascii="Times New Roman" w:hAnsi="Times New Roman"/>
          <w:i/>
          <w:sz w:val="24"/>
        </w:rPr>
        <w:t xml:space="preserve"> no </w:t>
      </w:r>
      <w:proofErr w:type="spellStart"/>
      <w:r>
        <w:rPr>
          <w:rFonts w:ascii="Times New Roman" w:hAnsi="Times New Roman"/>
          <w:i/>
          <w:sz w:val="24"/>
        </w:rPr>
        <w:t>AgRg</w:t>
      </w:r>
      <w:proofErr w:type="spellEnd"/>
      <w:r>
        <w:rPr>
          <w:rFonts w:ascii="Times New Roman" w:hAnsi="Times New Roman"/>
          <w:i/>
          <w:sz w:val="24"/>
        </w:rPr>
        <w:t xml:space="preserve"> no </w:t>
      </w:r>
      <w:proofErr w:type="spellStart"/>
      <w:r>
        <w:rPr>
          <w:rFonts w:ascii="Times New Roman" w:hAnsi="Times New Roman"/>
          <w:i/>
          <w:sz w:val="24"/>
        </w:rPr>
        <w:t>REsp</w:t>
      </w:r>
      <w:proofErr w:type="spellEnd"/>
      <w:r>
        <w:rPr>
          <w:rFonts w:ascii="Times New Roman" w:hAnsi="Times New Roman"/>
          <w:i/>
          <w:sz w:val="24"/>
        </w:rPr>
        <w:t xml:space="preserve"> n.º 651.076/RS, Relator Ministro Félix Fischer, Quinta Turma, DJU 20/03/06)</w:t>
      </w:r>
      <w:r>
        <w:rPr>
          <w:rFonts w:ascii="Times New Roman" w:hAnsi="Times New Roman"/>
          <w:sz w:val="24"/>
        </w:rPr>
        <w:t xml:space="preserve">” (EDAC 0066994-03.2014.4.01.3800/MG, Rel. Desembargador Federal FRANCISCO DE ASSIS BETTI, Rel. </w:t>
      </w:r>
      <w:proofErr w:type="spellStart"/>
      <w:r>
        <w:rPr>
          <w:rFonts w:ascii="Times New Roman" w:hAnsi="Times New Roman"/>
          <w:sz w:val="24"/>
        </w:rPr>
        <w:t>Conv</w:t>
      </w:r>
      <w:proofErr w:type="spellEnd"/>
      <w:r>
        <w:rPr>
          <w:rFonts w:ascii="Times New Roman" w:hAnsi="Times New Roman"/>
          <w:sz w:val="24"/>
        </w:rPr>
        <w:t>. Juiz Federal CÉSAR CINTRA JATAHY FONSECA, Segunda Turma, e-DJF1 de 16/08/2016).</w:t>
      </w:r>
    </w:p>
    <w:p w:rsidR="00EB776E" w:rsidRDefault="00EB776E" w:rsidP="00EB776E">
      <w:pPr>
        <w:pStyle w:val="ementa"/>
        <w:spacing w:line="360" w:lineRule="auto"/>
        <w:ind w:firstLine="1134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sz w:val="24"/>
        </w:rPr>
        <w:t>Forte em tais reflexões</w:t>
      </w:r>
      <w:proofErr w:type="gramStart"/>
      <w:r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b/>
          <w:sz w:val="24"/>
        </w:rPr>
        <w:t>rejeito</w:t>
      </w:r>
      <w:proofErr w:type="gramEnd"/>
      <w:r>
        <w:rPr>
          <w:rFonts w:ascii="Times New Roman" w:hAnsi="Times New Roman"/>
          <w:sz w:val="24"/>
        </w:rPr>
        <w:t xml:space="preserve"> os Embargos de Declaração.</w:t>
      </w:r>
    </w:p>
    <w:p w:rsidR="00EB776E" w:rsidRDefault="00EB776E" w:rsidP="00EB776E">
      <w:pPr>
        <w:pStyle w:val="Default"/>
        <w:spacing w:after="200"/>
        <w:ind w:firstLine="1134"/>
        <w:jc w:val="both"/>
      </w:pPr>
      <w:r>
        <w:t>É como voto.</w:t>
      </w:r>
    </w:p>
    <w:p w:rsidR="00EB776E" w:rsidRDefault="00EB776E" w:rsidP="00EB776E">
      <w:pPr>
        <w:pStyle w:val="Default"/>
        <w:spacing w:after="200"/>
        <w:ind w:firstLine="1134"/>
        <w:jc w:val="both"/>
      </w:pPr>
    </w:p>
    <w:p w:rsidR="00EB776E" w:rsidRDefault="00EB776E" w:rsidP="00EB776E">
      <w:pPr>
        <w:pStyle w:val="Default"/>
        <w:jc w:val="both"/>
        <w:rPr>
          <w:b/>
          <w:bCs/>
        </w:rPr>
      </w:pPr>
    </w:p>
    <w:p w:rsidR="00EB776E" w:rsidRDefault="00EB776E" w:rsidP="00EB776E">
      <w:pPr>
        <w:pStyle w:val="Default"/>
        <w:jc w:val="center"/>
      </w:pPr>
      <w:r>
        <w:rPr>
          <w:b/>
          <w:bCs/>
        </w:rPr>
        <w:t>Juiz Federal POMPEU DE SOUSA BRASIL</w:t>
      </w:r>
    </w:p>
    <w:p w:rsidR="00EB776E" w:rsidRDefault="00EB776E" w:rsidP="00EB776E">
      <w:pPr>
        <w:pStyle w:val="Identifica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>Relator convocado</w:t>
      </w:r>
    </w:p>
    <w:p w:rsidR="00EB776E" w:rsidRDefault="00EB776E" w:rsidP="00EB776E">
      <w:pPr>
        <w:pStyle w:val="Identificao"/>
      </w:pPr>
    </w:p>
    <w:p w:rsidR="00EB776E" w:rsidRPr="00466E3B" w:rsidRDefault="00EB776E" w:rsidP="00EB776E">
      <w:pPr>
        <w:pStyle w:val="Identificao"/>
      </w:pPr>
    </w:p>
    <w:p w:rsidR="00EB776E" w:rsidRPr="005B6B7F" w:rsidRDefault="00EB776E" w:rsidP="00EB776E">
      <w:pPr>
        <w:pStyle w:val="Identificao"/>
      </w:pPr>
    </w:p>
    <w:p w:rsidR="00EB776E" w:rsidRPr="00126797" w:rsidRDefault="00EB776E" w:rsidP="00EB776E">
      <w:pPr>
        <w:pStyle w:val="Identificao"/>
      </w:pPr>
    </w:p>
    <w:p w:rsidR="00EB776E" w:rsidRPr="007E1AE1" w:rsidRDefault="00EB776E" w:rsidP="00EB776E">
      <w:pPr>
        <w:pStyle w:val="Identificao"/>
      </w:pPr>
    </w:p>
    <w:p w:rsidR="0015179D" w:rsidRPr="00006E5A" w:rsidRDefault="0015179D" w:rsidP="00006E5A">
      <w:pPr>
        <w:pStyle w:val="Identificao"/>
      </w:pPr>
    </w:p>
    <w:sectPr w:rsidR="0015179D" w:rsidRPr="00006E5A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E5A" w:rsidRDefault="00006E5A">
      <w:r>
        <w:separator/>
      </w:r>
    </w:p>
  </w:endnote>
  <w:endnote w:type="continuationSeparator" w:id="0">
    <w:p w:rsidR="00006E5A" w:rsidRDefault="00006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1B4A61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1B4A61">
      <w:rPr>
        <w:rFonts w:ascii="Arial" w:hAnsi="Arial"/>
        <w:sz w:val="10"/>
      </w:rPr>
      <w:fldChar w:fldCharType="separate"/>
    </w:r>
    <w:r w:rsidR="00006E5A">
      <w:rPr>
        <w:rFonts w:ascii="Arial" w:hAnsi="Arial"/>
        <w:noProof/>
        <w:sz w:val="10"/>
      </w:rPr>
      <w:t>Documento1</w:t>
    </w:r>
    <w:r w:rsidR="001B4A61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1B4A61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1B4A61">
      <w:rPr>
        <w:rFonts w:ascii="Arial" w:hAnsi="Arial"/>
        <w:sz w:val="13"/>
      </w:rPr>
      <w:fldChar w:fldCharType="separate"/>
    </w:r>
    <w:r w:rsidR="00006E5A">
      <w:rPr>
        <w:rFonts w:ascii="Arial" w:hAnsi="Arial"/>
        <w:noProof/>
        <w:sz w:val="13"/>
      </w:rPr>
      <w:t>Documento1</w:t>
    </w:r>
    <w:r w:rsidR="001B4A61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1B4A61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1B4A61">
      <w:rPr>
        <w:rFonts w:ascii="Arial" w:hAnsi="Arial"/>
        <w:sz w:val="13"/>
      </w:rPr>
      <w:fldChar w:fldCharType="separate"/>
    </w:r>
    <w:r w:rsidR="00006E5A">
      <w:rPr>
        <w:rFonts w:ascii="Arial" w:hAnsi="Arial"/>
        <w:noProof/>
        <w:sz w:val="13"/>
      </w:rPr>
      <w:t>TR300321</w:t>
    </w:r>
    <w:r w:rsidR="001B4A61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E5A" w:rsidRDefault="00006E5A">
      <w:r>
        <w:separator/>
      </w:r>
    </w:p>
  </w:footnote>
  <w:footnote w:type="continuationSeparator" w:id="0">
    <w:p w:rsidR="00006E5A" w:rsidRDefault="00006E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1B4A61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1B4A61">
      <w:rPr>
        <w:rFonts w:ascii="Arial" w:hAnsi="Arial" w:cs="Arial"/>
        <w:bCs/>
        <w:sz w:val="16"/>
      </w:rPr>
      <w:fldChar w:fldCharType="separate"/>
    </w:r>
    <w:r w:rsidR="00EB776E">
      <w:rPr>
        <w:rFonts w:ascii="Arial" w:hAnsi="Arial" w:cs="Arial"/>
        <w:bCs/>
        <w:noProof/>
        <w:sz w:val="16"/>
      </w:rPr>
      <w:t>2</w:t>
    </w:r>
    <w:r w:rsidR="001B4A61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1B4A61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1B4A61">
      <w:rPr>
        <w:rFonts w:ascii="Arial" w:hAnsi="Arial" w:cs="Arial"/>
        <w:bCs/>
        <w:sz w:val="16"/>
      </w:rPr>
      <w:fldChar w:fldCharType="separate"/>
    </w:r>
    <w:r w:rsidR="00EB776E">
      <w:rPr>
        <w:rFonts w:ascii="Arial" w:hAnsi="Arial" w:cs="Arial"/>
        <w:bCs/>
        <w:noProof/>
        <w:sz w:val="16"/>
      </w:rPr>
      <w:t>2</w:t>
    </w:r>
    <w:r w:rsidR="001B4A61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E5A" w:rsidRPr="00006E5A" w:rsidRDefault="00006E5A" w:rsidP="00006E5A">
    <w:pPr>
      <w:jc w:val="right"/>
      <w:rPr>
        <w:rFonts w:ascii="Interleaved 2of5" w:hAnsi="Interleaved 2of5"/>
        <w:sz w:val="48"/>
      </w:rPr>
    </w:pPr>
    <w:r w:rsidRPr="00006E5A">
      <w:rPr>
        <w:rFonts w:ascii="Interleaved 2of5" w:hAnsi="Interleaved 2of5"/>
        <w:sz w:val="48"/>
      </w:rPr>
      <w:t>(5ÔÛÌ1R1Q&gt;)</w:t>
    </w:r>
  </w:p>
  <w:p w:rsidR="00006E5A" w:rsidRDefault="00006E5A" w:rsidP="00006E5A">
    <w:pPr>
      <w:spacing w:before="120"/>
      <w:rPr>
        <w:rFonts w:ascii="Arial" w:hAnsi="Arial"/>
        <w:sz w:val="16"/>
      </w:rPr>
    </w:pPr>
  </w:p>
  <w:p w:rsidR="004554A7" w:rsidRDefault="00006E5A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4A61"/>
    <w:rsid w:val="00006E5A"/>
    <w:rsid w:val="0015179D"/>
    <w:rsid w:val="00191A8C"/>
    <w:rsid w:val="001B4A61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D0AC9"/>
    <w:rsid w:val="00E850E4"/>
    <w:rsid w:val="00EB776E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B4A61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1B4A61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rsid w:val="001B4A61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1B4A61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1B4A61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1B4A61"/>
    <w:pPr>
      <w:ind w:left="2835"/>
    </w:pPr>
  </w:style>
  <w:style w:type="paragraph" w:customStyle="1" w:styleId="transcrio3">
    <w:name w:val="transcrição 3"/>
    <w:basedOn w:val="Identificao"/>
    <w:rsid w:val="001B4A61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1B4A61"/>
    <w:pPr>
      <w:ind w:left="4536"/>
    </w:pPr>
  </w:style>
  <w:style w:type="paragraph" w:customStyle="1" w:styleId="assinatura">
    <w:name w:val="assinatura"/>
    <w:basedOn w:val="Pargrafo"/>
    <w:rsid w:val="001B4A61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1B4A61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006E5A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06E5A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EB776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EB776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nhideWhenUsed/>
    <w:rsid w:val="00EB776E"/>
    <w:pPr>
      <w:spacing w:after="120" w:line="480" w:lineRule="auto"/>
      <w:ind w:left="283"/>
    </w:pPr>
    <w:rPr>
      <w:rFonts w:eastAsia="Calibri"/>
    </w:rPr>
  </w:style>
  <w:style w:type="character" w:customStyle="1" w:styleId="Recuodecorpodetexto2Char">
    <w:name w:val="Recuo de corpo de texto 2 Char"/>
    <w:basedOn w:val="Fontepargpadro"/>
    <w:link w:val="Recuodecorpodetexto2"/>
    <w:rsid w:val="00EB776E"/>
    <w:rPr>
      <w:rFonts w:eastAsia="Calibri"/>
      <w:sz w:val="24"/>
      <w:szCs w:val="24"/>
    </w:rPr>
  </w:style>
  <w:style w:type="character" w:customStyle="1" w:styleId="ementaChar">
    <w:name w:val="ementa Char"/>
    <w:link w:val="ementa"/>
    <w:locked/>
    <w:rsid w:val="00EB776E"/>
    <w:rPr>
      <w:rFonts w:ascii="Arial" w:hAnsi="Arial"/>
      <w:sz w:val="22"/>
      <w:szCs w:val="24"/>
    </w:rPr>
  </w:style>
  <w:style w:type="paragraph" w:customStyle="1" w:styleId="Default">
    <w:name w:val="Default"/>
    <w:rsid w:val="00EB776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ba6198es</cp:lastModifiedBy>
  <cp:revision>2</cp:revision>
  <dcterms:created xsi:type="dcterms:W3CDTF">2017-03-09T17:26:00Z</dcterms:created>
  <dcterms:modified xsi:type="dcterms:W3CDTF">2017-03-09T17:26:00Z</dcterms:modified>
</cp:coreProperties>
</file>