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DB4" w:rsidRDefault="00DB1DB4" w:rsidP="007A5B9E">
      <w:pPr>
        <w:pStyle w:val="TextosemFormatao"/>
        <w:rPr>
          <w:rFonts w:ascii="Courier New" w:hAnsi="Courier New" w:cs="Courier New"/>
        </w:rPr>
      </w:pPr>
    </w:p>
    <w:p w:rsidR="00DB1DB4" w:rsidRPr="007A5B9E" w:rsidRDefault="00DB1DB4" w:rsidP="00DB1DB4">
      <w:pPr>
        <w:pStyle w:val="Identificao"/>
      </w:pPr>
      <w:r w:rsidRPr="007A5B9E">
        <w:t xml:space="preserve">Numeração Única: 293996520124013500 </w:t>
      </w:r>
    </w:p>
    <w:p w:rsidR="00DB1DB4" w:rsidRPr="007A5B9E" w:rsidRDefault="00DB1DB4" w:rsidP="00DB1DB4">
      <w:pPr>
        <w:pStyle w:val="Identificao"/>
      </w:pPr>
      <w:r w:rsidRPr="007A5B9E">
        <w:t>APELAÇÃO CÍVEL  0029399-65.2012.4.01.3500/GO</w:t>
      </w:r>
    </w:p>
    <w:p w:rsidR="00DB1DB4" w:rsidRPr="007A5B9E" w:rsidRDefault="00DB1DB4" w:rsidP="00DB1DB4">
      <w:pPr>
        <w:pStyle w:val="Identificao"/>
      </w:pPr>
      <w:r w:rsidRPr="007A5B9E">
        <w:t>Processo na Origem: 293996520124013500</w:t>
      </w:r>
    </w:p>
    <w:p w:rsidR="00DB1DB4" w:rsidRDefault="00DB1DB4" w:rsidP="00DB1DB4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DB1DB4" w:rsidRPr="00DB1DB4" w:rsidTr="00DB1DB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RELATOR(A)</w:t>
            </w:r>
          </w:p>
        </w:tc>
        <w:tc>
          <w:tcPr>
            <w:tcW w:w="3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:</w:t>
            </w:r>
          </w:p>
        </w:tc>
        <w:tc>
          <w:tcPr>
            <w:tcW w:w="76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JUIZ FEDERAL CRISTIANO MIRANDA DE SANTANA</w:t>
            </w:r>
          </w:p>
        </w:tc>
      </w:tr>
      <w:tr w:rsidR="00DB1DB4" w:rsidRPr="00DB1DB4" w:rsidTr="00DB1DB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APELANTE</w:t>
            </w:r>
          </w:p>
        </w:tc>
        <w:tc>
          <w:tcPr>
            <w:tcW w:w="3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:</w:t>
            </w:r>
          </w:p>
        </w:tc>
        <w:tc>
          <w:tcPr>
            <w:tcW w:w="76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 xml:space="preserve">JOSE PAULINO PEREIRA </w:t>
            </w:r>
          </w:p>
        </w:tc>
      </w:tr>
      <w:tr w:rsidR="00DB1DB4" w:rsidRPr="00DB1DB4" w:rsidTr="00DB1DB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ADVOGADO</w:t>
            </w:r>
          </w:p>
        </w:tc>
        <w:tc>
          <w:tcPr>
            <w:tcW w:w="3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:</w:t>
            </w:r>
          </w:p>
        </w:tc>
        <w:tc>
          <w:tcPr>
            <w:tcW w:w="76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GO00029132 - FERNANDO GONCALVES DIAS E OUTRO(A)</w:t>
            </w:r>
          </w:p>
        </w:tc>
      </w:tr>
      <w:tr w:rsidR="00DB1DB4" w:rsidRPr="00DB1DB4" w:rsidTr="00DB1DB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APELANTE</w:t>
            </w:r>
          </w:p>
        </w:tc>
        <w:tc>
          <w:tcPr>
            <w:tcW w:w="3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:</w:t>
            </w:r>
          </w:p>
        </w:tc>
        <w:tc>
          <w:tcPr>
            <w:tcW w:w="76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 xml:space="preserve">INSTITUTO NACIONAL DO SEGURO SOCIAL - INSS </w:t>
            </w:r>
          </w:p>
        </w:tc>
      </w:tr>
      <w:tr w:rsidR="00DB1DB4" w:rsidRPr="00DB1DB4" w:rsidTr="00DB1DB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PROCURADOR</w:t>
            </w:r>
          </w:p>
        </w:tc>
        <w:tc>
          <w:tcPr>
            <w:tcW w:w="3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:</w:t>
            </w:r>
          </w:p>
        </w:tc>
        <w:tc>
          <w:tcPr>
            <w:tcW w:w="76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 xml:space="preserve">PROCURADORIA REGIONAL FEDERAL DA 1ª REGIÃO </w:t>
            </w:r>
          </w:p>
        </w:tc>
      </w:tr>
      <w:tr w:rsidR="00DB1DB4" w:rsidRPr="00DB1DB4" w:rsidTr="00DB1DB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APELADO</w:t>
            </w:r>
          </w:p>
        </w:tc>
        <w:tc>
          <w:tcPr>
            <w:tcW w:w="3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:</w:t>
            </w:r>
          </w:p>
        </w:tc>
        <w:tc>
          <w:tcPr>
            <w:tcW w:w="76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 xml:space="preserve">OS MESMOS </w:t>
            </w:r>
          </w:p>
        </w:tc>
      </w:tr>
    </w:tbl>
    <w:p w:rsidR="00DB1DB4" w:rsidRDefault="00DB1DB4" w:rsidP="00DB1DB4">
      <w:pPr>
        <w:pStyle w:val="Identificao"/>
      </w:pPr>
    </w:p>
    <w:p w:rsidR="003741EC" w:rsidRPr="003741EC" w:rsidRDefault="003741EC" w:rsidP="003741EC">
      <w:pPr>
        <w:spacing w:after="0" w:line="240" w:lineRule="auto"/>
        <w:jc w:val="center"/>
        <w:rPr>
          <w:rFonts w:ascii="Arial" w:eastAsia="Times New Roman" w:hAnsi="Arial" w:cs="Arial"/>
          <w:u w:val="single"/>
          <w:lang w:eastAsia="pt-BR"/>
        </w:rPr>
      </w:pPr>
      <w:r w:rsidRPr="003741EC">
        <w:rPr>
          <w:rFonts w:ascii="Arial" w:eastAsia="Times New Roman" w:hAnsi="Arial" w:cs="Arial"/>
          <w:u w:val="single"/>
          <w:lang w:eastAsia="pt-BR"/>
        </w:rPr>
        <w:t>RELATÓRIO</w:t>
      </w:r>
    </w:p>
    <w:p w:rsidR="003741EC" w:rsidRPr="003741EC" w:rsidRDefault="003741EC" w:rsidP="003741EC">
      <w:pPr>
        <w:spacing w:after="0" w:line="240" w:lineRule="auto"/>
        <w:ind w:firstLine="1418"/>
        <w:jc w:val="both"/>
        <w:rPr>
          <w:rFonts w:ascii="Arial" w:eastAsia="Times New Roman" w:hAnsi="Arial" w:cs="Arial"/>
          <w:lang w:eastAsia="pt-BR"/>
        </w:rPr>
      </w:pPr>
    </w:p>
    <w:p w:rsidR="003741EC" w:rsidRPr="003741EC" w:rsidRDefault="003741EC" w:rsidP="003741EC">
      <w:pPr>
        <w:spacing w:after="0" w:line="240" w:lineRule="auto"/>
        <w:ind w:firstLine="1418"/>
        <w:jc w:val="both"/>
        <w:rPr>
          <w:rFonts w:ascii="Arial" w:eastAsia="Times New Roman" w:hAnsi="Arial" w:cs="Arial"/>
          <w:lang w:eastAsia="pt-BR"/>
        </w:rPr>
      </w:pPr>
      <w:r w:rsidRPr="003741EC">
        <w:rPr>
          <w:rFonts w:ascii="Arial" w:eastAsia="Times New Roman" w:hAnsi="Arial" w:cs="Arial"/>
          <w:lang w:eastAsia="pt-BR"/>
        </w:rPr>
        <w:t>EXM. SR. JUIZ FEDERAL CRISTIANO MIRANDA DE SANTANA, RELATOR:</w:t>
      </w:r>
    </w:p>
    <w:p w:rsidR="003741EC" w:rsidRPr="003741EC" w:rsidRDefault="003741EC" w:rsidP="003741EC">
      <w:pPr>
        <w:spacing w:after="0" w:line="240" w:lineRule="auto"/>
        <w:ind w:firstLine="1418"/>
        <w:jc w:val="both"/>
        <w:rPr>
          <w:rFonts w:ascii="Arial" w:hAnsi="Arial" w:cs="Arial"/>
        </w:rPr>
      </w:pPr>
    </w:p>
    <w:p w:rsidR="003741EC" w:rsidRPr="003741EC" w:rsidRDefault="003741EC" w:rsidP="003741E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3741EC">
        <w:rPr>
          <w:rFonts w:ascii="Arial" w:hAnsi="Arial" w:cs="Arial"/>
        </w:rPr>
        <w:t>Embargos de declaração foram opostos pela parte autora em face do aresto desta Câmara, sob o argumento de que se encontram presentes vícios que ensejam a sua correção.</w:t>
      </w:r>
    </w:p>
    <w:p w:rsidR="003741EC" w:rsidRPr="003741EC" w:rsidRDefault="003741EC" w:rsidP="003741E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3741EC">
        <w:rPr>
          <w:rFonts w:ascii="Arial" w:hAnsi="Arial" w:cs="Arial"/>
        </w:rPr>
        <w:t>É o relatório.</w:t>
      </w:r>
    </w:p>
    <w:p w:rsidR="003741EC" w:rsidRPr="003741EC" w:rsidRDefault="003741EC" w:rsidP="003741EC">
      <w:pPr>
        <w:spacing w:after="0" w:line="240" w:lineRule="auto"/>
        <w:jc w:val="center"/>
        <w:rPr>
          <w:rFonts w:ascii="Arial" w:eastAsia="Times New Roman" w:hAnsi="Arial" w:cs="Arial"/>
          <w:u w:val="single"/>
          <w:lang w:eastAsia="pt-BR"/>
        </w:rPr>
      </w:pPr>
      <w:r w:rsidRPr="003741EC">
        <w:rPr>
          <w:rFonts w:ascii="Arial" w:eastAsia="Times New Roman" w:hAnsi="Arial" w:cs="Arial"/>
          <w:u w:val="single"/>
          <w:lang w:eastAsia="pt-BR"/>
        </w:rPr>
        <w:t>VOTO</w:t>
      </w:r>
    </w:p>
    <w:p w:rsidR="003741EC" w:rsidRPr="003741EC" w:rsidRDefault="003741EC" w:rsidP="003741EC">
      <w:pPr>
        <w:spacing w:after="0" w:line="240" w:lineRule="auto"/>
        <w:jc w:val="center"/>
        <w:rPr>
          <w:rFonts w:ascii="Arial" w:eastAsia="Times New Roman" w:hAnsi="Arial" w:cs="Arial"/>
          <w:u w:val="single"/>
          <w:lang w:eastAsia="pt-BR"/>
        </w:rPr>
      </w:pPr>
    </w:p>
    <w:p w:rsidR="003741EC" w:rsidRPr="003741EC" w:rsidRDefault="003741EC" w:rsidP="003741EC">
      <w:pPr>
        <w:spacing w:after="0" w:line="240" w:lineRule="auto"/>
        <w:jc w:val="center"/>
        <w:rPr>
          <w:rFonts w:ascii="Arial" w:eastAsia="Times New Roman" w:hAnsi="Arial" w:cs="Arial"/>
          <w:u w:val="single"/>
          <w:lang w:eastAsia="pt-BR"/>
        </w:rPr>
      </w:pPr>
    </w:p>
    <w:p w:rsidR="003741EC" w:rsidRPr="003741EC" w:rsidRDefault="003741EC" w:rsidP="003741EC">
      <w:pPr>
        <w:spacing w:before="120" w:after="120" w:line="240" w:lineRule="auto"/>
        <w:ind w:firstLine="1418"/>
        <w:jc w:val="both"/>
        <w:rPr>
          <w:rFonts w:ascii="Arial" w:hAnsi="Arial" w:cs="Arial"/>
        </w:rPr>
      </w:pPr>
      <w:r w:rsidRPr="003741EC">
        <w:rPr>
          <w:rFonts w:ascii="Arial" w:eastAsia="Times New Roman" w:hAnsi="Arial" w:cs="Arial"/>
          <w:lang w:eastAsia="pt-BR"/>
        </w:rPr>
        <w:t>EXM. SR. JUIZ FEDERAL CRISTIANO MIRANDA DE SANTANA, RELATOR</w:t>
      </w:r>
      <w:r w:rsidRPr="003741EC">
        <w:rPr>
          <w:rFonts w:ascii="Arial" w:hAnsi="Arial" w:cs="Arial"/>
        </w:rPr>
        <w:t>:</w:t>
      </w:r>
    </w:p>
    <w:p w:rsidR="003741EC" w:rsidRPr="003741EC" w:rsidRDefault="003741EC" w:rsidP="003741E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3741EC">
        <w:rPr>
          <w:rFonts w:ascii="Arial" w:hAnsi="Arial" w:cs="Arial"/>
        </w:rPr>
        <w:t>Não assiste razão ao embargante.</w:t>
      </w:r>
    </w:p>
    <w:p w:rsidR="003741EC" w:rsidRPr="003741EC" w:rsidRDefault="003741EC" w:rsidP="003741EC">
      <w:pPr>
        <w:spacing w:after="0" w:line="240" w:lineRule="auto"/>
        <w:ind w:firstLine="1418"/>
        <w:jc w:val="both"/>
        <w:rPr>
          <w:rFonts w:ascii="Arial" w:hAnsi="Arial" w:cs="Arial"/>
          <w:szCs w:val="24"/>
        </w:rPr>
      </w:pPr>
      <w:r w:rsidRPr="003741EC">
        <w:rPr>
          <w:rFonts w:ascii="Arial" w:hAnsi="Arial" w:cs="Arial"/>
          <w:szCs w:val="24"/>
        </w:rPr>
        <w:t>Os embargos de declaração só devem ser acolhidos quando se observa no julgado obscuridade, omissão, erro material ou contradição interna do julgado, não se prestando à rediscussão da causa.</w:t>
      </w:r>
    </w:p>
    <w:p w:rsidR="003741EC" w:rsidRPr="003741EC" w:rsidRDefault="003741EC" w:rsidP="003741EC">
      <w:pPr>
        <w:tabs>
          <w:tab w:val="left" w:pos="426"/>
        </w:tabs>
        <w:spacing w:before="40" w:after="120" w:line="240" w:lineRule="auto"/>
        <w:ind w:right="22" w:firstLine="1418"/>
        <w:jc w:val="both"/>
        <w:rPr>
          <w:rFonts w:ascii="Arial" w:hAnsi="Arial" w:cs="Arial"/>
          <w:shd w:val="clear" w:color="auto" w:fill="FFFFFF"/>
        </w:rPr>
      </w:pPr>
      <w:r w:rsidRPr="003741EC">
        <w:rPr>
          <w:rFonts w:ascii="Arial" w:hAnsi="Arial" w:cs="Arial"/>
          <w:shd w:val="clear" w:color="auto" w:fill="FFFFFF"/>
        </w:rPr>
        <w:t>Em verdade, o embargante deseja indevidamente rediscutir os fundamentos do acórdão que denegou o enquadramento pretendido, sobretudo porque o documento novo que anexa não muda a conclusão do acórdão.</w:t>
      </w:r>
    </w:p>
    <w:p w:rsidR="003741EC" w:rsidRPr="003741EC" w:rsidRDefault="003741EC" w:rsidP="003741EC">
      <w:pPr>
        <w:tabs>
          <w:tab w:val="left" w:pos="426"/>
        </w:tabs>
        <w:spacing w:before="40" w:after="120" w:line="240" w:lineRule="auto"/>
        <w:ind w:right="22" w:firstLine="1418"/>
        <w:jc w:val="both"/>
        <w:rPr>
          <w:rFonts w:ascii="Arial" w:hAnsi="Arial" w:cs="Arial"/>
          <w:shd w:val="clear" w:color="auto" w:fill="FFFFFF"/>
        </w:rPr>
      </w:pPr>
      <w:r w:rsidRPr="003741EC">
        <w:rPr>
          <w:rFonts w:ascii="Arial" w:hAnsi="Arial" w:cs="Arial"/>
          <w:shd w:val="clear" w:color="auto" w:fill="FFFFFF"/>
        </w:rPr>
        <w:t>Por sinal, quando do julgamento da apelação, expressamente salientei que:</w:t>
      </w:r>
    </w:p>
    <w:p w:rsidR="003741EC" w:rsidRPr="003741EC" w:rsidRDefault="003741EC" w:rsidP="003741EC">
      <w:pPr>
        <w:spacing w:after="0" w:line="240" w:lineRule="auto"/>
        <w:ind w:left="1418"/>
        <w:jc w:val="both"/>
        <w:rPr>
          <w:rFonts w:ascii="Arial" w:hAnsi="Arial" w:cs="Arial"/>
          <w:i/>
        </w:rPr>
      </w:pPr>
      <w:r w:rsidRPr="003741EC">
        <w:rPr>
          <w:rFonts w:ascii="Arial" w:hAnsi="Arial" w:cs="Arial"/>
          <w:i/>
        </w:rPr>
        <w:t xml:space="preserve">“[...] vê-se que a sentença merece parcial reforma, pois, mesmo ausente a comprovação da tensão elétrica mínima para o reconhecimento da especialidade, enquadrou como especial o intervalo de 06/03/1997 a 09/12/1997 apenas com base na profissão do autor (eletricista de linha de transmissão). Convém sublinhar que a CTPS, único documento utilizado pela sentença para tal fim, não contem informações que supram tal exigência. </w:t>
      </w:r>
    </w:p>
    <w:p w:rsidR="003741EC" w:rsidRPr="003741EC" w:rsidRDefault="003741EC" w:rsidP="003741EC">
      <w:pPr>
        <w:spacing w:after="0" w:line="240" w:lineRule="auto"/>
        <w:ind w:left="1418"/>
        <w:jc w:val="both"/>
        <w:rPr>
          <w:rFonts w:ascii="Arial" w:hAnsi="Arial" w:cs="Arial"/>
          <w:i/>
        </w:rPr>
      </w:pPr>
      <w:r w:rsidRPr="003741EC">
        <w:rPr>
          <w:rFonts w:ascii="Arial" w:hAnsi="Arial" w:cs="Arial"/>
          <w:i/>
        </w:rPr>
        <w:t xml:space="preserve">De outro turno, tal como entendeu o Juízo Sentenciante, o período de labor compreendido entre 10/12/1997 a 02/08/2004 deve ser computado como tempo comum ante da ausência de comprovação de exposição do segurado a qualquer fator de risco. </w:t>
      </w:r>
    </w:p>
    <w:p w:rsidR="003741EC" w:rsidRPr="003741EC" w:rsidRDefault="003741EC" w:rsidP="003741EC">
      <w:pPr>
        <w:spacing w:after="0" w:line="240" w:lineRule="auto"/>
        <w:ind w:left="1418"/>
        <w:jc w:val="both"/>
        <w:rPr>
          <w:rFonts w:ascii="Arial" w:hAnsi="Arial" w:cs="Arial"/>
          <w:i/>
        </w:rPr>
      </w:pPr>
      <w:r w:rsidRPr="003741EC">
        <w:rPr>
          <w:rFonts w:ascii="Arial" w:hAnsi="Arial" w:cs="Arial"/>
          <w:i/>
        </w:rPr>
        <w:t xml:space="preserve">Registre-se que, a despeito de o formulário, cujas informações tenham sido extraídas do laudo, dispensar a apresentação do laudo técnico, o perfil </w:t>
      </w:r>
      <w:proofErr w:type="spellStart"/>
      <w:r w:rsidRPr="003741EC">
        <w:rPr>
          <w:rFonts w:ascii="Arial" w:hAnsi="Arial" w:cs="Arial"/>
          <w:i/>
        </w:rPr>
        <w:lastRenderedPageBreak/>
        <w:t>profissiográfico</w:t>
      </w:r>
      <w:proofErr w:type="spellEnd"/>
      <w:r w:rsidRPr="003741EC">
        <w:rPr>
          <w:rFonts w:ascii="Arial" w:hAnsi="Arial" w:cs="Arial"/>
          <w:i/>
        </w:rPr>
        <w:t xml:space="preserve"> previdenciário juntado aos autos, alusivo ao mencionado período, encontra-se apócrifo e sequer indica a pessoa responsável pela sua emissão, portanto, sendo inservível como prova da especialidade do labor. </w:t>
      </w:r>
    </w:p>
    <w:p w:rsidR="003741EC" w:rsidRPr="003741EC" w:rsidRDefault="003741EC" w:rsidP="003741EC">
      <w:pPr>
        <w:spacing w:after="0" w:line="240" w:lineRule="auto"/>
        <w:ind w:left="1418"/>
        <w:jc w:val="both"/>
        <w:rPr>
          <w:rFonts w:ascii="Arial" w:hAnsi="Arial" w:cs="Arial"/>
          <w:i/>
        </w:rPr>
      </w:pPr>
      <w:r w:rsidRPr="003741EC">
        <w:rPr>
          <w:rFonts w:ascii="Arial" w:hAnsi="Arial" w:cs="Arial"/>
          <w:i/>
        </w:rPr>
        <w:t xml:space="preserve">Ademais, devidamente intimado pelo Juízo de Primeiro Grau para juntar aos autos o laudo técnico do qual foram extraídas as informações do supracitado PPP ou complementar o formulário, a parte autora não apresentou a referida prova, devendo arcar com o ônus de sua omissão (fls. 175-v e 176/179).” </w:t>
      </w:r>
      <w:r w:rsidRPr="003741EC">
        <w:rPr>
          <w:rFonts w:ascii="Arial" w:hAnsi="Arial" w:cs="Arial"/>
        </w:rPr>
        <w:t>(fls. 239/240)</w:t>
      </w:r>
      <w:r w:rsidRPr="003741EC">
        <w:rPr>
          <w:rFonts w:ascii="Arial" w:hAnsi="Arial" w:cs="Arial"/>
          <w:i/>
        </w:rPr>
        <w:t xml:space="preserve">. </w:t>
      </w:r>
    </w:p>
    <w:p w:rsidR="003741EC" w:rsidRPr="003741EC" w:rsidRDefault="003741EC" w:rsidP="003741EC">
      <w:pPr>
        <w:spacing w:before="120" w:after="120" w:line="240" w:lineRule="auto"/>
        <w:ind w:firstLine="1418"/>
        <w:jc w:val="both"/>
        <w:rPr>
          <w:rFonts w:ascii="Arial" w:hAnsi="Arial" w:cs="Arial"/>
        </w:rPr>
      </w:pPr>
      <w:r w:rsidRPr="003741EC">
        <w:rPr>
          <w:rFonts w:ascii="Arial" w:hAnsi="Arial" w:cs="Arial"/>
        </w:rPr>
        <w:t>Como se vê, não há omissão ou obscuridade no julgado recorrido.</w:t>
      </w:r>
    </w:p>
    <w:p w:rsidR="003741EC" w:rsidRPr="003741EC" w:rsidRDefault="003741EC" w:rsidP="003741EC">
      <w:pPr>
        <w:spacing w:before="120" w:after="120" w:line="240" w:lineRule="auto"/>
        <w:ind w:firstLine="1418"/>
        <w:jc w:val="both"/>
        <w:rPr>
          <w:rFonts w:ascii="Arial" w:hAnsi="Arial" w:cs="Arial"/>
        </w:rPr>
      </w:pPr>
      <w:r w:rsidRPr="003741EC">
        <w:rPr>
          <w:rFonts w:ascii="Arial" w:hAnsi="Arial" w:cs="Arial"/>
        </w:rPr>
        <w:t xml:space="preserve">Outrossim, o documento anexado não muda o panorama dos autos, pois o PPP de fls. 247/249 não traz o quadro que relaciona os fatores de risco. Desse modo, não houve qualquer equívoco do julgado. Por sinal, o laudo de fls. 59/60 expressamente assevera a exposição ao agente de risco (eletricidade em tensão superior a 250v) </w:t>
      </w:r>
      <w:r w:rsidRPr="003741EC">
        <w:rPr>
          <w:rFonts w:ascii="Arial" w:hAnsi="Arial" w:cs="Arial"/>
          <w:u w:val="single"/>
        </w:rPr>
        <w:t>até 05/03/1997</w:t>
      </w:r>
      <w:r w:rsidRPr="003741EC">
        <w:rPr>
          <w:rFonts w:ascii="Arial" w:hAnsi="Arial" w:cs="Arial"/>
        </w:rPr>
        <w:t>, quando trabalhou como eletricista de linha de transmissão até 05/03/1997 e esse é o entendimento que deve prevalecer.</w:t>
      </w:r>
    </w:p>
    <w:p w:rsidR="003741EC" w:rsidRPr="003741EC" w:rsidRDefault="003741EC" w:rsidP="003741EC">
      <w:pPr>
        <w:spacing w:before="120" w:after="120" w:line="240" w:lineRule="auto"/>
        <w:ind w:firstLine="1418"/>
        <w:jc w:val="both"/>
        <w:rPr>
          <w:rFonts w:ascii="Arial" w:hAnsi="Arial" w:cs="Arial"/>
          <w:i/>
        </w:rPr>
      </w:pPr>
      <w:r w:rsidRPr="003741EC">
        <w:rPr>
          <w:rFonts w:ascii="Arial" w:hAnsi="Arial" w:cs="Arial"/>
        </w:rPr>
        <w:t xml:space="preserve">Por fim, nunca é demais lembrar que a contradição apta a ensejar a oposição dos embargos de declaração deve ser aquela intrínseca ao acórdão, ou seja, a contradição entre fundamentação e o dispositivo, e não a suposta contradição entre o quanto decidido e o ordenamento jurídico ou, ainda, a contradição que se alega existir entre o acórdão e a interpretação que a parte embargante faz da ordem jurídica ou das provas colhidas. </w:t>
      </w:r>
    </w:p>
    <w:p w:rsidR="003741EC" w:rsidRPr="003741EC" w:rsidRDefault="003741EC" w:rsidP="003741EC">
      <w:pPr>
        <w:tabs>
          <w:tab w:val="left" w:pos="426"/>
        </w:tabs>
        <w:spacing w:before="40" w:after="120" w:line="240" w:lineRule="auto"/>
        <w:ind w:right="22" w:firstLine="1418"/>
        <w:jc w:val="both"/>
        <w:rPr>
          <w:rFonts w:ascii="Arial" w:hAnsi="Arial" w:cs="Arial"/>
        </w:rPr>
      </w:pPr>
      <w:r w:rsidRPr="003741EC">
        <w:rPr>
          <w:rFonts w:ascii="Arial" w:hAnsi="Arial" w:cs="Arial"/>
          <w:shd w:val="clear" w:color="auto" w:fill="FFFFFF"/>
        </w:rPr>
        <w:t xml:space="preserve">O desejo de reforma do ponto referido deve ser levado às instâncias superiores, através do recurso próprio, pois, no caso concreto, </w:t>
      </w:r>
      <w:r w:rsidRPr="003741EC">
        <w:rPr>
          <w:rFonts w:ascii="Arial" w:hAnsi="Arial" w:cs="Arial"/>
        </w:rPr>
        <w:t xml:space="preserve">verifica-se a inexistência de omissão em relação a ponto sobre o qual deveria pronunciar-se este Tribunal, não havendo também qualquer outra irregularidade a ser sanada via embargos de declaração, uma vez que o </w:t>
      </w:r>
      <w:proofErr w:type="spellStart"/>
      <w:r w:rsidRPr="003741EC">
        <w:rPr>
          <w:rFonts w:ascii="Arial" w:hAnsi="Arial" w:cs="Arial"/>
          <w:i/>
        </w:rPr>
        <w:t>decisum</w:t>
      </w:r>
      <w:proofErr w:type="spellEnd"/>
      <w:r w:rsidRPr="003741EC">
        <w:rPr>
          <w:rFonts w:ascii="Arial" w:hAnsi="Arial" w:cs="Arial"/>
          <w:i/>
        </w:rPr>
        <w:t xml:space="preserve"> </w:t>
      </w:r>
      <w:r w:rsidRPr="003741EC">
        <w:rPr>
          <w:rFonts w:ascii="Arial" w:hAnsi="Arial" w:cs="Arial"/>
        </w:rPr>
        <w:t>enfrentou a as pretensões deduzidas e se encontra devidamente fundamentado.</w:t>
      </w:r>
    </w:p>
    <w:p w:rsidR="003741EC" w:rsidRPr="003741EC" w:rsidRDefault="003741EC" w:rsidP="003741EC">
      <w:pPr>
        <w:spacing w:before="120" w:after="120" w:line="240" w:lineRule="auto"/>
        <w:ind w:firstLine="1418"/>
        <w:jc w:val="both"/>
        <w:rPr>
          <w:rFonts w:ascii="Arial" w:hAnsi="Arial" w:cs="Arial"/>
        </w:rPr>
      </w:pPr>
      <w:r w:rsidRPr="003741EC">
        <w:rPr>
          <w:rFonts w:ascii="Arial" w:hAnsi="Arial" w:cs="Arial"/>
        </w:rPr>
        <w:t xml:space="preserve">Antes de encerrar, deixo registrado que o art. 1.025 do CPC/2015 adotou a tese do </w:t>
      </w:r>
      <w:proofErr w:type="spellStart"/>
      <w:r w:rsidRPr="003741EC">
        <w:rPr>
          <w:rFonts w:ascii="Arial" w:hAnsi="Arial" w:cs="Arial"/>
        </w:rPr>
        <w:t>prequestionamento</w:t>
      </w:r>
      <w:proofErr w:type="spellEnd"/>
      <w:r w:rsidRPr="003741EC">
        <w:rPr>
          <w:rFonts w:ascii="Arial" w:hAnsi="Arial" w:cs="Arial"/>
        </w:rPr>
        <w:t xml:space="preserve"> ficto, de modo que a simples menção do tema nas razões recursais atende à referida finalidade.</w:t>
      </w:r>
    </w:p>
    <w:p w:rsidR="003741EC" w:rsidRPr="003741EC" w:rsidRDefault="003741EC" w:rsidP="003741EC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3741EC">
        <w:rPr>
          <w:rFonts w:ascii="Arial" w:hAnsi="Arial" w:cs="Arial"/>
        </w:rPr>
        <w:t>ISTO POSTO, ante a ausência dos requisitos legais, rejeito os embargos de declaração.</w:t>
      </w:r>
    </w:p>
    <w:p w:rsidR="003741EC" w:rsidRPr="003741EC" w:rsidRDefault="003741EC" w:rsidP="003741EC">
      <w:pPr>
        <w:spacing w:after="120" w:line="240" w:lineRule="auto"/>
        <w:ind w:firstLine="1418"/>
        <w:jc w:val="both"/>
        <w:rPr>
          <w:rFonts w:ascii="Arial" w:hAnsi="Arial" w:cs="Arial"/>
        </w:rPr>
      </w:pPr>
      <w:r w:rsidRPr="003741EC">
        <w:rPr>
          <w:rFonts w:ascii="Arial" w:hAnsi="Arial" w:cs="Arial"/>
        </w:rPr>
        <w:t>É o meu voto.</w:t>
      </w:r>
    </w:p>
    <w:p w:rsidR="003741EC" w:rsidRPr="003741EC" w:rsidRDefault="003741EC" w:rsidP="003741EC">
      <w:pPr>
        <w:spacing w:before="120" w:after="120" w:line="240" w:lineRule="auto"/>
        <w:ind w:firstLine="1418"/>
        <w:jc w:val="both"/>
        <w:rPr>
          <w:rFonts w:ascii="Arial" w:hAnsi="Arial" w:cs="Arial"/>
        </w:rPr>
      </w:pPr>
    </w:p>
    <w:p w:rsidR="003741EC" w:rsidRPr="003741EC" w:rsidRDefault="003741EC" w:rsidP="003741EC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 w:rsidRPr="003741EC">
        <w:rPr>
          <w:rFonts w:ascii="Arial" w:eastAsia="Times New Roman" w:hAnsi="Arial" w:cs="Arial"/>
          <w:lang w:eastAsia="pt-BR"/>
        </w:rPr>
        <w:t>Juiz Federal CRISTIANO MIRANDA DE SANTANA</w:t>
      </w:r>
    </w:p>
    <w:p w:rsidR="0015179D" w:rsidRPr="003741EC" w:rsidRDefault="003741EC" w:rsidP="003741EC">
      <w:pPr>
        <w:keepNext/>
        <w:spacing w:after="0" w:line="240" w:lineRule="auto"/>
        <w:contextualSpacing/>
        <w:jc w:val="center"/>
        <w:outlineLvl w:val="0"/>
      </w:pPr>
      <w:r w:rsidRPr="003741EC">
        <w:rPr>
          <w:rFonts w:ascii="Arial" w:eastAsia="Times New Roman" w:hAnsi="Arial" w:cs="Arial"/>
          <w:lang w:eastAsia="pt-BR"/>
        </w:rPr>
        <w:t>RELATOR</w:t>
      </w:r>
    </w:p>
    <w:sectPr w:rsidR="0015179D" w:rsidRPr="003741EC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AD4" w:rsidRDefault="00E60AD4">
      <w:r>
        <w:separator/>
      </w:r>
    </w:p>
  </w:endnote>
  <w:endnote w:type="continuationSeparator" w:id="0">
    <w:p w:rsidR="00E60AD4" w:rsidRDefault="00E60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DB1DB4">
      <w:rPr>
        <w:rFonts w:ascii="Arial" w:hAnsi="Arial"/>
        <w:noProof/>
        <w:sz w:val="10"/>
      </w:rPr>
      <w:t>Documento1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DB1DB4">
      <w:rPr>
        <w:rFonts w:ascii="Arial" w:hAnsi="Arial"/>
        <w:noProof/>
        <w:sz w:val="13"/>
      </w:rPr>
      <w:t>Documento1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DB1DB4">
      <w:rPr>
        <w:rFonts w:ascii="Arial" w:hAnsi="Arial"/>
        <w:noProof/>
        <w:sz w:val="13"/>
      </w:rPr>
      <w:t>TR300321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AD4" w:rsidRDefault="00E60AD4">
      <w:r>
        <w:separator/>
      </w:r>
    </w:p>
  </w:footnote>
  <w:footnote w:type="continuationSeparator" w:id="0">
    <w:p w:rsidR="00E60AD4" w:rsidRDefault="00E60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3741EC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3741EC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DB4" w:rsidRPr="00DB1DB4" w:rsidRDefault="00DB1DB4" w:rsidP="00DB1DB4">
    <w:pPr>
      <w:jc w:val="right"/>
      <w:rPr>
        <w:rFonts w:ascii="Interleaved 2of5" w:hAnsi="Interleaved 2of5"/>
        <w:sz w:val="48"/>
      </w:rPr>
    </w:pPr>
    <w:r w:rsidRPr="00DB1DB4">
      <w:rPr>
        <w:rFonts w:ascii="Interleaved 2of5" w:hAnsi="Interleaved 2of5"/>
        <w:sz w:val="48"/>
      </w:rPr>
      <w:t>(MWîÂ1H1S0)</w:t>
    </w:r>
  </w:p>
  <w:p w:rsidR="00DB1DB4" w:rsidRDefault="00DB1DB4" w:rsidP="00DB1DB4">
    <w:pPr>
      <w:spacing w:before="120"/>
      <w:rPr>
        <w:rFonts w:ascii="Arial" w:hAnsi="Arial"/>
        <w:sz w:val="16"/>
      </w:rPr>
    </w:pPr>
  </w:p>
  <w:p w:rsidR="004554A7" w:rsidRDefault="00DB1DB4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41EC"/>
    <w:rsid w:val="0015179D"/>
    <w:rsid w:val="00191A8C"/>
    <w:rsid w:val="002331F7"/>
    <w:rsid w:val="003741EC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C5492A"/>
    <w:rsid w:val="00D221D6"/>
    <w:rsid w:val="00DB1DB4"/>
    <w:rsid w:val="00DD0AC9"/>
    <w:rsid w:val="00E60AD4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DB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pPr>
      <w:spacing w:before="120" w:after="120" w:line="240" w:lineRule="auto"/>
      <w:ind w:firstLine="1418"/>
      <w:jc w:val="both"/>
    </w:pPr>
    <w:rPr>
      <w:rFonts w:ascii="Arial" w:eastAsia="Times New Roman" w:hAnsi="Arial"/>
      <w:szCs w:val="24"/>
      <w:lang w:eastAsia="pt-BR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DB1DB4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B1DB4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374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741EC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8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2</Pages>
  <Words>672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TR300321</cp:lastModifiedBy>
  <cp:revision>2</cp:revision>
  <dcterms:created xsi:type="dcterms:W3CDTF">2018-03-05T16:34:00Z</dcterms:created>
  <dcterms:modified xsi:type="dcterms:W3CDTF">2018-03-05T16:34:00Z</dcterms:modified>
</cp:coreProperties>
</file>