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7AA0" w:rsidRDefault="00287AA0" w:rsidP="00EE4C90">
      <w:pPr>
        <w:pStyle w:val="TextosemFormatao"/>
        <w:rPr>
          <w:rFonts w:ascii="Courier New" w:hAnsi="Courier New" w:cs="Courier New"/>
        </w:rPr>
      </w:pPr>
    </w:p>
    <w:p w:rsidR="00287AA0" w:rsidRPr="00287AA0" w:rsidRDefault="00287AA0" w:rsidP="00287AA0">
      <w:pPr>
        <w:pStyle w:val="Identificao"/>
      </w:pPr>
      <w:r>
        <w:t>EMBARGOS DE DECLARAÇÃO NA</w:t>
      </w:r>
      <w:r>
        <w:rPr>
          <w:b/>
        </w:rPr>
        <w:t xml:space="preserve"> </w:t>
      </w:r>
      <w:r w:rsidRPr="00EE4C90">
        <w:t>APELAÇÃO/REEXAME NECESSÁRIO</w:t>
      </w:r>
      <w:proofErr w:type="gramStart"/>
      <w:r w:rsidRPr="00EE4C90">
        <w:t xml:space="preserve">  </w:t>
      </w:r>
      <w:proofErr w:type="gramEnd"/>
      <w:r w:rsidRPr="00EE4C90">
        <w:t>0024139-86.2012.4.01.3700/MA</w:t>
      </w:r>
    </w:p>
    <w:p w:rsidR="00287AA0" w:rsidRPr="00EE4C90" w:rsidRDefault="00287AA0" w:rsidP="00287AA0">
      <w:pPr>
        <w:pStyle w:val="Identificao"/>
      </w:pPr>
      <w:r w:rsidRPr="00EE4C90">
        <w:t>Processo na Origem: 241398620124013700</w:t>
      </w:r>
    </w:p>
    <w:p w:rsidR="00287AA0" w:rsidRDefault="00287AA0" w:rsidP="00287AA0">
      <w:pPr>
        <w:pStyle w:val="Identificao"/>
        <w:spacing w:before="360" w:after="360"/>
        <w:jc w:val="center"/>
        <w:rPr>
          <w:b/>
        </w:rPr>
      </w:pPr>
      <w:r>
        <w:rPr>
          <w:b/>
        </w:rPr>
        <w:t>RELATÓRIO</w:t>
      </w:r>
    </w:p>
    <w:p w:rsidR="00287AA0" w:rsidRDefault="00287AA0" w:rsidP="00287AA0">
      <w:pPr>
        <w:pStyle w:val="Identificao"/>
        <w:spacing w:before="120" w:after="120"/>
        <w:ind w:firstLine="1418"/>
        <w:rPr>
          <w:spacing w:val="-2"/>
        </w:rPr>
      </w:pPr>
      <w:r>
        <w:rPr>
          <w:rFonts w:cs="Arial"/>
          <w:b/>
          <w:bCs/>
          <w:spacing w:val="-2"/>
          <w:szCs w:val="22"/>
        </w:rPr>
        <w:t xml:space="preserve">O EXMO. </w:t>
      </w:r>
      <w:proofErr w:type="gramStart"/>
      <w:r>
        <w:rPr>
          <w:rFonts w:cs="Arial"/>
          <w:b/>
          <w:bCs/>
          <w:spacing w:val="-2"/>
          <w:szCs w:val="22"/>
        </w:rPr>
        <w:t>SR.</w:t>
      </w:r>
      <w:proofErr w:type="gramEnd"/>
      <w:r>
        <w:rPr>
          <w:rFonts w:cs="Arial"/>
          <w:b/>
          <w:bCs/>
          <w:spacing w:val="-2"/>
          <w:szCs w:val="22"/>
        </w:rPr>
        <w:t xml:space="preserve"> DESEMBARGADOR FEDERAL HERCULES FAJOSES (RELATOR):</w:t>
      </w:r>
    </w:p>
    <w:p w:rsidR="00287AA0" w:rsidRDefault="00287AA0" w:rsidP="00287AA0">
      <w:pPr>
        <w:autoSpaceDE w:val="0"/>
        <w:autoSpaceDN w:val="0"/>
        <w:adjustRightInd w:val="0"/>
        <w:spacing w:before="120" w:after="120"/>
        <w:ind w:firstLine="1418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Trata-se de embargos de declaração opostos pela </w:t>
      </w:r>
      <w:r>
        <w:rPr>
          <w:rFonts w:ascii="Arial" w:hAnsi="Arial" w:cs="Arial"/>
          <w:bCs/>
          <w:sz w:val="22"/>
          <w:szCs w:val="22"/>
        </w:rPr>
        <w:t xml:space="preserve">UNIÃO </w:t>
      </w:r>
      <w:r>
        <w:rPr>
          <w:rFonts w:ascii="Arial" w:hAnsi="Arial" w:cs="Arial"/>
          <w:sz w:val="22"/>
          <w:szCs w:val="22"/>
        </w:rPr>
        <w:t>contra acórdão cuja ementa segue abaixo transcrita:</w:t>
      </w:r>
    </w:p>
    <w:p w:rsidR="00287AA0" w:rsidRPr="00CC3EF4" w:rsidRDefault="00287AA0" w:rsidP="00287AA0">
      <w:pPr>
        <w:pStyle w:val="Transcrio"/>
      </w:pPr>
      <w:r w:rsidRPr="00CC3EF4">
        <w:t xml:space="preserve">CONSTITUCIONAL E TRIBUTÁRIO. JUÍZO DE ADEQUAÇÃO. TAXA DE OCUPAÇÃO. FORO E LAUDÊMIO. IMÓVEL SITUADO EM ILHA COSTEIRA. EMENDA CONSTITUCIONAL Nº 46/2005 (ART. 26, II, C/C O ART. 20, IV, DA CF/1988). ENCARGOS INDEVIDOS. SEDE DE MUNICÍPIO. PRINCÍPIOS DA AMPLA DEFESA E DO CONTRADITÓRIO. </w:t>
      </w:r>
    </w:p>
    <w:p w:rsidR="00287AA0" w:rsidRPr="00CC3EF4" w:rsidRDefault="00287AA0" w:rsidP="00287AA0">
      <w:pPr>
        <w:pStyle w:val="Transcrio"/>
      </w:pPr>
      <w:smartTag w:uri="urn:schemas-microsoft-com:office:smarttags" w:element="metricconverter">
        <w:smartTagPr>
          <w:attr w:name="ProductID" w:val="1. A"/>
        </w:smartTagPr>
        <w:r w:rsidRPr="00CC3EF4">
          <w:t>1. A</w:t>
        </w:r>
      </w:smartTag>
      <w:r w:rsidRPr="00CC3EF4">
        <w:t xml:space="preserve"> Constituição Federal estabelece em seu art. 20, inciso VI, que: "São bens da União: [...] IV – [...] as ilhas oceânicas e as costeiras, excluídas, destas, as que contenham a sede de Municípios, exceto aquelas áreas afetadas ao serviço público e a unidade ambiental federal, e as referidas no art. 26, II" (trecho introduzido pela EC nº 46, de 05 de maio de 2005).</w:t>
      </w:r>
    </w:p>
    <w:p w:rsidR="00287AA0" w:rsidRPr="00CC3EF4" w:rsidRDefault="00287AA0" w:rsidP="00287AA0">
      <w:pPr>
        <w:pStyle w:val="Transcrio"/>
      </w:pPr>
      <w:r w:rsidRPr="00CC3EF4">
        <w:t xml:space="preserve">2. O tema em análise foi apreciado pelo egrégio Supremo Tribunal Federal, em julgamento realizado sob o rito da Repercussão Geral a que alude o art. 543-B do Código de Processo Civil de 1973 (RG-RE nº 636.199/ES), reconhecendo que: “[...] A EC nº 46/2005 não alterou o regime patrimonial dos terrenos de marinha, tampouco dos potenciais de energia elétrica, dos recursos minerais, das terras tradicionalmente ocupadas pelos índios e de nenhum outro bem arrolado no art. 20 da CF. [...] Ausente fator de </w:t>
      </w:r>
      <w:proofErr w:type="spellStart"/>
      <w:r w:rsidRPr="00CC3EF4">
        <w:t>discrímen</w:t>
      </w:r>
      <w:proofErr w:type="spellEnd"/>
      <w:r w:rsidRPr="00CC3EF4">
        <w:t xml:space="preserve"> a legitimar a geração de efeitos desuniformes, no tocante ao regramento dos terrenos de </w:t>
      </w:r>
      <w:proofErr w:type="gramStart"/>
      <w:r w:rsidRPr="00CC3EF4">
        <w:t>marinha e acrescidos</w:t>
      </w:r>
      <w:proofErr w:type="gramEnd"/>
      <w:r w:rsidRPr="00CC3EF4">
        <w:t xml:space="preserve">, entre municípios insulares e continentais, incide sobre ambos, sem distinção, o art. 20, VII, da Constituição da República. 7. Tese firmada pelo Plenário do Supremo Tribunal Federal: Ao equiparar o regime jurídico-patrimonial das ilhas costeiras em que sediados Municípios àquele incidente sobre a porção continental do território brasileiro, a Emenda Constitucional nº 46/2005 não interferiu na propriedade da União, nos moldes do art. 20, VII, da Constituição da República, sobre os terrenos de marinha e seus acrescidos situados em ilhas costeiras sede de Municípios, incólumes as relações jurídicas daí decorrentes. [...] 9. Recurso extraordinário conhecido e não provido” (RE 636199, Relator(a):  Min. ROSA WEBER, Tribunal Pleno, julgado em 27/04/2017, PROCESSO ELETRÔNICO </w:t>
      </w:r>
      <w:proofErr w:type="spellStart"/>
      <w:r w:rsidRPr="00CC3EF4">
        <w:t>DJe</w:t>
      </w:r>
      <w:proofErr w:type="spellEnd"/>
      <w:r w:rsidRPr="00CC3EF4">
        <w:t>-170 DIVULG 02-08-2017 PUBLIC 03-08-2017).</w:t>
      </w:r>
    </w:p>
    <w:p w:rsidR="00287AA0" w:rsidRPr="00CC3EF4" w:rsidRDefault="00287AA0" w:rsidP="00287AA0">
      <w:pPr>
        <w:pStyle w:val="Transcrio"/>
      </w:pPr>
      <w:r w:rsidRPr="00CC3EF4">
        <w:t>3. Depreende-se que a desoneração trazida pela EC nº 46/2005 restringe-se, tão somente, às ilhas oceânicas e às costeiras que contenham a sede de Municípios, dentre os quais, São Luís – MA, mantendo-se inalterados, na condição de bens da União, os terrenos de marinha e seus acrescidos.</w:t>
      </w:r>
    </w:p>
    <w:p w:rsidR="00287AA0" w:rsidRPr="00CC3EF4" w:rsidRDefault="00287AA0" w:rsidP="00287AA0">
      <w:pPr>
        <w:pStyle w:val="Transcrio"/>
      </w:pPr>
      <w:r w:rsidRPr="00CC3EF4">
        <w:t xml:space="preserve">4. Dos documentos acostados aos autos, destaca-se que o imóvel objeto da presente ação é caracterizado como “Nacional Interior”, desmembrado </w:t>
      </w:r>
      <w:r w:rsidRPr="00CC3EF4">
        <w:lastRenderedPageBreak/>
        <w:t>da área denominada Rio Anil, não integrando o conceito de terreno de marinha.</w:t>
      </w:r>
    </w:p>
    <w:p w:rsidR="00287AA0" w:rsidRPr="00CC3EF4" w:rsidRDefault="00287AA0" w:rsidP="00287AA0">
      <w:pPr>
        <w:pStyle w:val="Transcrio"/>
      </w:pPr>
      <w:r w:rsidRPr="00CC3EF4">
        <w:t xml:space="preserve">5. Sobre o tema, a orientação prevalente neste egrégio Tribunal é no sentido de que: “[...] Diante da </w:t>
      </w:r>
      <w:proofErr w:type="gramStart"/>
      <w:r w:rsidRPr="00CC3EF4">
        <w:t>nova ordem constitucional, que estabeleceu critério político-territorial definidor do domínio das ilhas costeiras</w:t>
      </w:r>
      <w:proofErr w:type="gramEnd"/>
      <w:r w:rsidRPr="00CC3EF4">
        <w:t xml:space="preserve">, este Tribunal tem definido a impossibilidade da cobrança, pela União, de taxa de ocupação e de laudêmio. [...]. 3 – Os Decretos Presidenciais nº 66.227/1970 e nº 71.206/1972 – que autorizaram a cessão da gleba do Rio Anil ao Estado do Maranhão </w:t>
      </w:r>
      <w:proofErr w:type="gramStart"/>
      <w:r w:rsidRPr="00CC3EF4">
        <w:t>sob regime</w:t>
      </w:r>
      <w:proofErr w:type="gramEnd"/>
      <w:r w:rsidRPr="00CC3EF4">
        <w:t xml:space="preserve"> de aforamento -, não asseguram à União a propriedade das referidas terras, porquanto foram editados em afronta à Constituição de 1967, vigente na época, que não atribuiu ao ente federativo central a propriedade das ilhas costeiras.[...]” (EIAC nº 0040877-52.2012.4.01.3700/MA, julgado em 29 de julho de 2015, publicado no e-DJF1 de 30/09/2015).</w:t>
      </w:r>
    </w:p>
    <w:p w:rsidR="00287AA0" w:rsidRPr="00CC3EF4" w:rsidRDefault="00287AA0" w:rsidP="00287AA0">
      <w:pPr>
        <w:pStyle w:val="Transcrio"/>
      </w:pPr>
      <w:r w:rsidRPr="00CC3EF4">
        <w:t>6. Resta inviabilizada a pretensão da União de obtenção e manutenção do domínio de áreas contidas em ilhas costeiras ou oceânicas que sejam "sede de município", a partir da data da modificação constitucional, afastando a legitimidade da cobrança dos pretendidos tributos.</w:t>
      </w:r>
    </w:p>
    <w:p w:rsidR="00287AA0" w:rsidRPr="00CC3EF4" w:rsidRDefault="00287AA0" w:rsidP="00287AA0">
      <w:pPr>
        <w:pStyle w:val="Transcrio"/>
      </w:pPr>
      <w:r w:rsidRPr="00CC3EF4">
        <w:t>7. Quanto à demarcação dos terrenos de marinha (não interiores), a "definição da linha preamar média de 1831" (ponderação das marés máximas), sem a notificação pessoal dos interessados, caracteriza afronta aos princípios do contraditório e da ampla defesa, consoante precedentes da colenda Sétima Turma desta egrégia Corte (AG nº 0074617-77.2011.4.01.0000/MA, Rel. Des. Fed. LUCIANO TOLENTINO AMARAL).</w:t>
      </w:r>
    </w:p>
    <w:p w:rsidR="00287AA0" w:rsidRPr="00CC3EF4" w:rsidRDefault="00287AA0" w:rsidP="00287AA0">
      <w:pPr>
        <w:pStyle w:val="Transcrio"/>
      </w:pPr>
      <w:r w:rsidRPr="00CC3EF4">
        <w:t>8. Em juízo de adequação, fica mantido o acórdão que negou provimento à apelação e à remessa oficial.</w:t>
      </w:r>
    </w:p>
    <w:p w:rsidR="00287AA0" w:rsidRDefault="00287AA0" w:rsidP="00287AA0">
      <w:pPr>
        <w:pStyle w:val="Pargrafo"/>
      </w:pPr>
      <w:r>
        <w:t>Sustenta a embargante a ocorrência de omissão no julgado, vez que o acórdão embargado teria deixado de considerar que “</w:t>
      </w:r>
      <w:r>
        <w:rPr>
          <w:i/>
        </w:rPr>
        <w:t>o imóvel discutido na presente ação, não integraria o conceito de terreno de Marinha, constituindo apenas Nacional interior</w:t>
      </w:r>
      <w:r>
        <w:t xml:space="preserve">”. </w:t>
      </w:r>
    </w:p>
    <w:p w:rsidR="00287AA0" w:rsidRDefault="00287AA0" w:rsidP="00287AA0">
      <w:pPr>
        <w:spacing w:before="120" w:after="120"/>
        <w:ind w:firstLine="141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Requer a reforma do julgado.</w:t>
      </w:r>
    </w:p>
    <w:p w:rsidR="00287AA0" w:rsidRDefault="00287AA0" w:rsidP="00287AA0">
      <w:pPr>
        <w:spacing w:before="120" w:after="120"/>
        <w:ind w:firstLine="141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É o relatório.</w:t>
      </w:r>
    </w:p>
    <w:p w:rsidR="00287AA0" w:rsidRDefault="00287AA0" w:rsidP="00287AA0">
      <w:pPr>
        <w:spacing w:before="360" w:after="360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VOTO</w:t>
      </w:r>
    </w:p>
    <w:p w:rsidR="00287AA0" w:rsidRDefault="00287AA0" w:rsidP="00287AA0">
      <w:pPr>
        <w:pStyle w:val="Identificao"/>
        <w:spacing w:before="120" w:after="120"/>
        <w:ind w:firstLine="1418"/>
        <w:rPr>
          <w:spacing w:val="-2"/>
        </w:rPr>
      </w:pPr>
      <w:r>
        <w:rPr>
          <w:rFonts w:cs="Arial"/>
          <w:b/>
          <w:bCs/>
          <w:spacing w:val="-2"/>
          <w:szCs w:val="22"/>
        </w:rPr>
        <w:t xml:space="preserve">O EXMO. </w:t>
      </w:r>
      <w:proofErr w:type="gramStart"/>
      <w:r>
        <w:rPr>
          <w:rFonts w:cs="Arial"/>
          <w:b/>
          <w:bCs/>
          <w:spacing w:val="-2"/>
          <w:szCs w:val="22"/>
        </w:rPr>
        <w:t>SR.</w:t>
      </w:r>
      <w:proofErr w:type="gramEnd"/>
      <w:r>
        <w:rPr>
          <w:rFonts w:cs="Arial"/>
          <w:b/>
          <w:bCs/>
          <w:spacing w:val="-2"/>
          <w:szCs w:val="22"/>
        </w:rPr>
        <w:t xml:space="preserve"> DESEMBARGADOR FEDERAL HERCULES FAJOSES (RELATOR):</w:t>
      </w:r>
    </w:p>
    <w:p w:rsidR="00287AA0" w:rsidRDefault="00287AA0" w:rsidP="00287AA0">
      <w:pPr>
        <w:autoSpaceDE w:val="0"/>
        <w:autoSpaceDN w:val="0"/>
        <w:adjustRightInd w:val="0"/>
        <w:spacing w:before="120" w:after="120"/>
        <w:ind w:firstLine="141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Os embargos de declaração, conforme prescreve o art. 1.022 do NCPC, têm por finalidade sanar eventuais omissões, obscuridades ou mesmo contradições existentes em decisões judiciais, bem como corrigir erro material. Assim, não é cabível a oposição de embargos de declaração, objetivando viabilizar a revisão ou anulação de decisões, ainda mais se a matéria foi deliberada.</w:t>
      </w:r>
    </w:p>
    <w:p w:rsidR="00287AA0" w:rsidRDefault="00287AA0" w:rsidP="00287AA0">
      <w:pPr>
        <w:autoSpaceDE w:val="0"/>
        <w:autoSpaceDN w:val="0"/>
        <w:adjustRightInd w:val="0"/>
        <w:spacing w:before="120" w:after="120"/>
        <w:ind w:firstLine="141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Nesse sentido é o entendimento pacífico do egrégio Superior Tribunal de Justiça: “</w:t>
      </w:r>
      <w:r>
        <w:rPr>
          <w:rFonts w:ascii="Arial" w:hAnsi="Arial" w:cs="Arial"/>
          <w:i/>
          <w:iCs/>
          <w:sz w:val="22"/>
          <w:szCs w:val="22"/>
        </w:rPr>
        <w:t>Deveras, é cediço que inocorrentes as hipóteses de omissão, contradição, obscuridade ou erro material, não há como prosperar o inconformismo, cujo real objetivo é a pretensão de reexame da questão atinente ao reconhecimento da violação do art. 535, do CPC, o que é inviável de ser revisado em sede de embargos de declaração, dentro dos estreitos limites previstos no artigo 535 do CPC. Precedentes da Corte Especial</w:t>
      </w:r>
      <w:r>
        <w:rPr>
          <w:rFonts w:ascii="Arial" w:hAnsi="Arial" w:cs="Arial"/>
          <w:sz w:val="22"/>
          <w:szCs w:val="22"/>
        </w:rPr>
        <w:t xml:space="preserve">: </w:t>
      </w:r>
      <w:proofErr w:type="spellStart"/>
      <w:proofErr w:type="gramStart"/>
      <w:r>
        <w:rPr>
          <w:rFonts w:ascii="Arial" w:hAnsi="Arial" w:cs="Arial"/>
          <w:i/>
          <w:sz w:val="22"/>
          <w:szCs w:val="22"/>
        </w:rPr>
        <w:t>AgRg</w:t>
      </w:r>
      <w:proofErr w:type="spellEnd"/>
      <w:proofErr w:type="gramEnd"/>
      <w:r>
        <w:rPr>
          <w:rFonts w:ascii="Arial" w:hAnsi="Arial" w:cs="Arial"/>
          <w:i/>
          <w:sz w:val="22"/>
          <w:szCs w:val="22"/>
        </w:rPr>
        <w:t xml:space="preserve"> nos </w:t>
      </w:r>
      <w:proofErr w:type="spellStart"/>
      <w:r>
        <w:rPr>
          <w:rFonts w:ascii="Arial" w:hAnsi="Arial" w:cs="Arial"/>
          <w:i/>
          <w:sz w:val="22"/>
          <w:szCs w:val="22"/>
        </w:rPr>
        <w:t>EDcl</w:t>
      </w:r>
      <w:proofErr w:type="spellEnd"/>
      <w:r>
        <w:rPr>
          <w:rFonts w:ascii="Arial" w:hAnsi="Arial" w:cs="Arial"/>
          <w:i/>
          <w:sz w:val="22"/>
          <w:szCs w:val="22"/>
        </w:rPr>
        <w:t xml:space="preserve"> nos </w:t>
      </w:r>
      <w:proofErr w:type="spellStart"/>
      <w:r>
        <w:rPr>
          <w:rFonts w:ascii="Arial" w:hAnsi="Arial" w:cs="Arial"/>
          <w:i/>
          <w:sz w:val="22"/>
          <w:szCs w:val="22"/>
        </w:rPr>
        <w:t>EREsp</w:t>
      </w:r>
      <w:proofErr w:type="spellEnd"/>
      <w:r>
        <w:rPr>
          <w:rFonts w:ascii="Arial" w:hAnsi="Arial" w:cs="Arial"/>
          <w:i/>
          <w:sz w:val="22"/>
          <w:szCs w:val="22"/>
        </w:rPr>
        <w:t xml:space="preserve"> 693.711/RS, DJ 06.03.2008; </w:t>
      </w:r>
      <w:proofErr w:type="spellStart"/>
      <w:r>
        <w:rPr>
          <w:rFonts w:ascii="Arial" w:hAnsi="Arial" w:cs="Arial"/>
          <w:i/>
          <w:sz w:val="22"/>
          <w:szCs w:val="22"/>
        </w:rPr>
        <w:t>EDcl</w:t>
      </w:r>
      <w:proofErr w:type="spellEnd"/>
      <w:r>
        <w:rPr>
          <w:rFonts w:ascii="Arial" w:hAnsi="Arial" w:cs="Arial"/>
          <w:i/>
          <w:sz w:val="22"/>
          <w:szCs w:val="22"/>
        </w:rPr>
        <w:t xml:space="preserve"> no </w:t>
      </w:r>
      <w:proofErr w:type="spellStart"/>
      <w:r>
        <w:rPr>
          <w:rFonts w:ascii="Arial" w:hAnsi="Arial" w:cs="Arial"/>
          <w:i/>
          <w:sz w:val="22"/>
          <w:szCs w:val="22"/>
        </w:rPr>
        <w:t>AgRg</w:t>
      </w:r>
      <w:proofErr w:type="spellEnd"/>
      <w:r>
        <w:rPr>
          <w:rFonts w:ascii="Arial" w:hAnsi="Arial" w:cs="Arial"/>
          <w:i/>
          <w:sz w:val="22"/>
          <w:szCs w:val="22"/>
        </w:rPr>
        <w:t xml:space="preserve"> no MS 12.792/DF, DJ 10.03.2008 e </w:t>
      </w:r>
      <w:proofErr w:type="spellStart"/>
      <w:r>
        <w:rPr>
          <w:rFonts w:ascii="Arial" w:hAnsi="Arial" w:cs="Arial"/>
          <w:i/>
          <w:sz w:val="22"/>
          <w:szCs w:val="22"/>
        </w:rPr>
        <w:t>EDcl</w:t>
      </w:r>
      <w:proofErr w:type="spellEnd"/>
      <w:r>
        <w:rPr>
          <w:rFonts w:ascii="Arial" w:hAnsi="Arial" w:cs="Arial"/>
          <w:i/>
          <w:sz w:val="22"/>
          <w:szCs w:val="22"/>
        </w:rPr>
        <w:t xml:space="preserve"> no </w:t>
      </w:r>
      <w:proofErr w:type="spellStart"/>
      <w:r>
        <w:rPr>
          <w:rFonts w:ascii="Arial" w:hAnsi="Arial" w:cs="Arial"/>
          <w:i/>
          <w:sz w:val="22"/>
          <w:szCs w:val="22"/>
        </w:rPr>
        <w:t>AgRg</w:t>
      </w:r>
      <w:proofErr w:type="spellEnd"/>
      <w:r>
        <w:rPr>
          <w:rFonts w:ascii="Arial" w:hAnsi="Arial" w:cs="Arial"/>
          <w:i/>
          <w:sz w:val="22"/>
          <w:szCs w:val="22"/>
        </w:rPr>
        <w:t xml:space="preserve"> nos </w:t>
      </w:r>
      <w:proofErr w:type="spellStart"/>
      <w:r>
        <w:rPr>
          <w:rFonts w:ascii="Arial" w:hAnsi="Arial" w:cs="Arial"/>
          <w:i/>
          <w:sz w:val="22"/>
          <w:szCs w:val="22"/>
        </w:rPr>
        <w:t>EREsp</w:t>
      </w:r>
      <w:proofErr w:type="spellEnd"/>
      <w:r>
        <w:rPr>
          <w:rFonts w:ascii="Arial" w:hAnsi="Arial" w:cs="Arial"/>
          <w:i/>
          <w:sz w:val="22"/>
          <w:szCs w:val="22"/>
        </w:rPr>
        <w:t xml:space="preserve"> 807.970/DF, DJ 25.02.2008</w:t>
      </w:r>
      <w:r>
        <w:rPr>
          <w:rFonts w:ascii="Arial" w:hAnsi="Arial" w:cs="Arial"/>
          <w:sz w:val="22"/>
          <w:szCs w:val="22"/>
        </w:rPr>
        <w:t>”</w:t>
      </w:r>
      <w:r>
        <w:t xml:space="preserve"> </w:t>
      </w:r>
      <w:r>
        <w:rPr>
          <w:rFonts w:ascii="Arial" w:hAnsi="Arial" w:cs="Arial"/>
          <w:sz w:val="22"/>
          <w:szCs w:val="22"/>
        </w:rPr>
        <w:t>(</w:t>
      </w:r>
      <w:proofErr w:type="spellStart"/>
      <w:r>
        <w:rPr>
          <w:rFonts w:ascii="Arial" w:hAnsi="Arial" w:cs="Arial"/>
          <w:sz w:val="22"/>
          <w:szCs w:val="22"/>
        </w:rPr>
        <w:t>EDcl</w:t>
      </w:r>
      <w:proofErr w:type="spellEnd"/>
      <w:r>
        <w:rPr>
          <w:rFonts w:ascii="Arial" w:hAnsi="Arial" w:cs="Arial"/>
          <w:sz w:val="22"/>
          <w:szCs w:val="22"/>
        </w:rPr>
        <w:t xml:space="preserve"> no </w:t>
      </w:r>
      <w:proofErr w:type="spellStart"/>
      <w:r>
        <w:rPr>
          <w:rFonts w:ascii="Arial" w:hAnsi="Arial" w:cs="Arial"/>
          <w:sz w:val="22"/>
          <w:szCs w:val="22"/>
        </w:rPr>
        <w:t>REsp</w:t>
      </w:r>
      <w:proofErr w:type="spellEnd"/>
      <w:r>
        <w:rPr>
          <w:rFonts w:ascii="Arial" w:hAnsi="Arial" w:cs="Arial"/>
          <w:sz w:val="22"/>
          <w:szCs w:val="22"/>
        </w:rPr>
        <w:t xml:space="preserve"> 724.111/RJ, Rel. Ministro Luiz </w:t>
      </w:r>
      <w:proofErr w:type="spellStart"/>
      <w:r>
        <w:rPr>
          <w:rFonts w:ascii="Arial" w:hAnsi="Arial" w:cs="Arial"/>
          <w:sz w:val="22"/>
          <w:szCs w:val="22"/>
        </w:rPr>
        <w:t>Fux</w:t>
      </w:r>
      <w:proofErr w:type="spellEnd"/>
      <w:r>
        <w:rPr>
          <w:rFonts w:ascii="Arial" w:hAnsi="Arial" w:cs="Arial"/>
          <w:sz w:val="22"/>
          <w:szCs w:val="22"/>
        </w:rPr>
        <w:t xml:space="preserve">, Primeira Turma, julgado em 17/12/2009, </w:t>
      </w:r>
      <w:proofErr w:type="spellStart"/>
      <w:r>
        <w:rPr>
          <w:rFonts w:ascii="Arial" w:hAnsi="Arial" w:cs="Arial"/>
          <w:sz w:val="22"/>
          <w:szCs w:val="22"/>
        </w:rPr>
        <w:t>DJe</w:t>
      </w:r>
      <w:proofErr w:type="spellEnd"/>
      <w:r>
        <w:rPr>
          <w:rFonts w:ascii="Arial" w:hAnsi="Arial" w:cs="Arial"/>
          <w:sz w:val="22"/>
          <w:szCs w:val="22"/>
        </w:rPr>
        <w:t xml:space="preserve"> 12/02/2010).</w:t>
      </w:r>
    </w:p>
    <w:p w:rsidR="00287AA0" w:rsidRDefault="00287AA0" w:rsidP="00287AA0">
      <w:pPr>
        <w:autoSpaceDE w:val="0"/>
        <w:autoSpaceDN w:val="0"/>
        <w:adjustRightInd w:val="0"/>
        <w:spacing w:before="120" w:after="120"/>
        <w:ind w:firstLine="141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Ademais, </w:t>
      </w:r>
      <w:r>
        <w:rPr>
          <w:rFonts w:ascii="Arial" w:hAnsi="Arial" w:cs="Arial"/>
          <w:i/>
          <w:iCs/>
          <w:sz w:val="22"/>
          <w:szCs w:val="22"/>
        </w:rPr>
        <w:t xml:space="preserve">“os embargos de declaração têm como requisito de admissibilidade a indicação de algum dos vícios previstos no art. 535, do CPC, supostamente detectados no </w:t>
      </w:r>
      <w:proofErr w:type="spellStart"/>
      <w:r>
        <w:rPr>
          <w:rFonts w:ascii="Arial" w:hAnsi="Arial" w:cs="Arial"/>
          <w:i/>
          <w:iCs/>
          <w:sz w:val="22"/>
          <w:szCs w:val="22"/>
        </w:rPr>
        <w:lastRenderedPageBreak/>
        <w:t>decisum</w:t>
      </w:r>
      <w:proofErr w:type="spellEnd"/>
      <w:r>
        <w:rPr>
          <w:rFonts w:ascii="Arial" w:hAnsi="Arial" w:cs="Arial"/>
          <w:i/>
          <w:iCs/>
          <w:sz w:val="22"/>
          <w:szCs w:val="22"/>
        </w:rPr>
        <w:t xml:space="preserve"> embargado, não se prestando, contudo, ao mero </w:t>
      </w:r>
      <w:proofErr w:type="spellStart"/>
      <w:r>
        <w:rPr>
          <w:rFonts w:ascii="Arial" w:hAnsi="Arial" w:cs="Arial"/>
          <w:i/>
          <w:iCs/>
          <w:sz w:val="22"/>
          <w:szCs w:val="22"/>
        </w:rPr>
        <w:t>prequestionamento</w:t>
      </w:r>
      <w:proofErr w:type="spellEnd"/>
      <w:r>
        <w:rPr>
          <w:rFonts w:ascii="Arial" w:hAnsi="Arial" w:cs="Arial"/>
          <w:i/>
          <w:iCs/>
          <w:sz w:val="22"/>
          <w:szCs w:val="22"/>
        </w:rPr>
        <w:t xml:space="preserve"> de dispositivos constitucionais para a viabilização de eventual recurso extraordinário, porquanto visam, unicamente, completar a decisão quando presente omissão de ponto fundamental, contradição entre a fundamentação e a conclusão, ou obscuridade nas razões desenvolvidas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i/>
          <w:sz w:val="22"/>
          <w:szCs w:val="22"/>
        </w:rPr>
        <w:t xml:space="preserve">(Precedentes da Corte Especial: </w:t>
      </w:r>
      <w:proofErr w:type="spellStart"/>
      <w:proofErr w:type="gramStart"/>
      <w:r>
        <w:rPr>
          <w:rFonts w:ascii="Arial" w:hAnsi="Arial" w:cs="Arial"/>
          <w:i/>
          <w:sz w:val="22"/>
          <w:szCs w:val="22"/>
        </w:rPr>
        <w:t>EDcl</w:t>
      </w:r>
      <w:proofErr w:type="spellEnd"/>
      <w:proofErr w:type="gramEnd"/>
      <w:r>
        <w:rPr>
          <w:rFonts w:ascii="Arial" w:hAnsi="Arial" w:cs="Arial"/>
          <w:i/>
          <w:sz w:val="22"/>
          <w:szCs w:val="22"/>
        </w:rPr>
        <w:t xml:space="preserve"> no </w:t>
      </w:r>
      <w:proofErr w:type="spellStart"/>
      <w:r>
        <w:rPr>
          <w:rFonts w:ascii="Arial" w:hAnsi="Arial" w:cs="Arial"/>
          <w:i/>
          <w:sz w:val="22"/>
          <w:szCs w:val="22"/>
        </w:rPr>
        <w:t>AgRg</w:t>
      </w:r>
      <w:proofErr w:type="spellEnd"/>
      <w:r>
        <w:rPr>
          <w:rFonts w:ascii="Arial" w:hAnsi="Arial" w:cs="Arial"/>
          <w:i/>
          <w:sz w:val="22"/>
          <w:szCs w:val="22"/>
        </w:rPr>
        <w:t xml:space="preserve"> nos </w:t>
      </w:r>
      <w:proofErr w:type="spellStart"/>
      <w:r>
        <w:rPr>
          <w:rFonts w:ascii="Arial" w:hAnsi="Arial" w:cs="Arial"/>
          <w:i/>
          <w:sz w:val="22"/>
          <w:szCs w:val="22"/>
        </w:rPr>
        <w:t>EREsp</w:t>
      </w:r>
      <w:proofErr w:type="spellEnd"/>
      <w:r>
        <w:rPr>
          <w:rFonts w:ascii="Arial" w:hAnsi="Arial" w:cs="Arial"/>
          <w:i/>
          <w:sz w:val="22"/>
          <w:szCs w:val="22"/>
        </w:rPr>
        <w:t xml:space="preserve"> 807.970/DF, Rel. Ministra Eliana Calmon, julgado em 19.12.2007, DJ 25.02.2008; </w:t>
      </w:r>
      <w:proofErr w:type="spellStart"/>
      <w:r>
        <w:rPr>
          <w:rFonts w:ascii="Arial" w:hAnsi="Arial" w:cs="Arial"/>
          <w:i/>
          <w:sz w:val="22"/>
          <w:szCs w:val="22"/>
        </w:rPr>
        <w:t>EDcl</w:t>
      </w:r>
      <w:proofErr w:type="spellEnd"/>
      <w:r>
        <w:rPr>
          <w:rFonts w:ascii="Arial" w:hAnsi="Arial" w:cs="Arial"/>
          <w:i/>
          <w:sz w:val="22"/>
          <w:szCs w:val="22"/>
        </w:rPr>
        <w:t xml:space="preserve"> no </w:t>
      </w:r>
      <w:proofErr w:type="spellStart"/>
      <w:r>
        <w:rPr>
          <w:rFonts w:ascii="Arial" w:hAnsi="Arial" w:cs="Arial"/>
          <w:i/>
          <w:sz w:val="22"/>
          <w:szCs w:val="22"/>
        </w:rPr>
        <w:t>AgRg</w:t>
      </w:r>
      <w:proofErr w:type="spellEnd"/>
      <w:r>
        <w:rPr>
          <w:rFonts w:ascii="Arial" w:hAnsi="Arial" w:cs="Arial"/>
          <w:i/>
          <w:sz w:val="22"/>
          <w:szCs w:val="22"/>
        </w:rPr>
        <w:t xml:space="preserve"> nos </w:t>
      </w:r>
      <w:proofErr w:type="spellStart"/>
      <w:r>
        <w:rPr>
          <w:rFonts w:ascii="Arial" w:hAnsi="Arial" w:cs="Arial"/>
          <w:i/>
          <w:sz w:val="22"/>
          <w:szCs w:val="22"/>
        </w:rPr>
        <w:t>EREsp</w:t>
      </w:r>
      <w:proofErr w:type="spellEnd"/>
      <w:r>
        <w:rPr>
          <w:rFonts w:ascii="Arial" w:hAnsi="Arial" w:cs="Arial"/>
          <w:i/>
          <w:sz w:val="22"/>
          <w:szCs w:val="22"/>
        </w:rPr>
        <w:t xml:space="preserve"> 707.848/SC, Rel. Ministro Gilson </w:t>
      </w:r>
      <w:proofErr w:type="spellStart"/>
      <w:r>
        <w:rPr>
          <w:rFonts w:ascii="Arial" w:hAnsi="Arial" w:cs="Arial"/>
          <w:i/>
          <w:sz w:val="22"/>
          <w:szCs w:val="22"/>
        </w:rPr>
        <w:t>Dipp</w:t>
      </w:r>
      <w:proofErr w:type="spellEnd"/>
      <w:r>
        <w:rPr>
          <w:rFonts w:ascii="Arial" w:hAnsi="Arial" w:cs="Arial"/>
          <w:i/>
          <w:sz w:val="22"/>
          <w:szCs w:val="22"/>
        </w:rPr>
        <w:t xml:space="preserve">, julgado em 06.12.2006, DJ 05.02.2007; </w:t>
      </w:r>
      <w:proofErr w:type="spellStart"/>
      <w:r>
        <w:rPr>
          <w:rFonts w:ascii="Arial" w:hAnsi="Arial" w:cs="Arial"/>
          <w:i/>
          <w:sz w:val="22"/>
          <w:szCs w:val="22"/>
        </w:rPr>
        <w:t>EDcl</w:t>
      </w:r>
      <w:proofErr w:type="spellEnd"/>
      <w:r>
        <w:rPr>
          <w:rFonts w:ascii="Arial" w:hAnsi="Arial" w:cs="Arial"/>
          <w:i/>
          <w:sz w:val="22"/>
          <w:szCs w:val="22"/>
        </w:rPr>
        <w:t xml:space="preserve"> na SEC 968/EX, Rel. Ministro Felix Fischer, julgado em 23.11.2006, DJ 05.02.2007; e </w:t>
      </w:r>
      <w:proofErr w:type="spellStart"/>
      <w:r>
        <w:rPr>
          <w:rFonts w:ascii="Arial" w:hAnsi="Arial" w:cs="Arial"/>
          <w:i/>
          <w:sz w:val="22"/>
          <w:szCs w:val="22"/>
        </w:rPr>
        <w:t>EDcl</w:t>
      </w:r>
      <w:proofErr w:type="spellEnd"/>
      <w:r>
        <w:rPr>
          <w:rFonts w:ascii="Arial" w:hAnsi="Arial" w:cs="Arial"/>
          <w:i/>
          <w:sz w:val="22"/>
          <w:szCs w:val="22"/>
        </w:rPr>
        <w:t xml:space="preserve"> nos </w:t>
      </w:r>
      <w:proofErr w:type="spellStart"/>
      <w:r>
        <w:rPr>
          <w:rFonts w:ascii="Arial" w:hAnsi="Arial" w:cs="Arial"/>
          <w:i/>
          <w:sz w:val="22"/>
          <w:szCs w:val="22"/>
        </w:rPr>
        <w:t>EREsp</w:t>
      </w:r>
      <w:proofErr w:type="spellEnd"/>
      <w:r>
        <w:rPr>
          <w:rFonts w:ascii="Arial" w:hAnsi="Arial" w:cs="Arial"/>
          <w:i/>
          <w:sz w:val="22"/>
          <w:szCs w:val="22"/>
        </w:rPr>
        <w:t xml:space="preserve"> 579.833/BA, Rel.Ministro Luiz </w:t>
      </w:r>
      <w:proofErr w:type="spellStart"/>
      <w:r>
        <w:rPr>
          <w:rFonts w:ascii="Arial" w:hAnsi="Arial" w:cs="Arial"/>
          <w:i/>
          <w:sz w:val="22"/>
          <w:szCs w:val="22"/>
        </w:rPr>
        <w:t>Fux</w:t>
      </w:r>
      <w:proofErr w:type="spellEnd"/>
      <w:r>
        <w:rPr>
          <w:rFonts w:ascii="Arial" w:hAnsi="Arial" w:cs="Arial"/>
          <w:i/>
          <w:sz w:val="22"/>
          <w:szCs w:val="22"/>
        </w:rPr>
        <w:t xml:space="preserve">, Corte Especial, julgado em 04.10.2006, DJ 04.12.2006)”. </w:t>
      </w:r>
      <w:r>
        <w:rPr>
          <w:rFonts w:ascii="Arial" w:hAnsi="Arial" w:cs="Arial"/>
          <w:sz w:val="22"/>
          <w:szCs w:val="22"/>
        </w:rPr>
        <w:t>(</w:t>
      </w:r>
      <w:proofErr w:type="spellStart"/>
      <w:proofErr w:type="gramStart"/>
      <w:r>
        <w:rPr>
          <w:rFonts w:ascii="Arial" w:hAnsi="Arial" w:cs="Arial"/>
          <w:sz w:val="22"/>
          <w:szCs w:val="22"/>
        </w:rPr>
        <w:t>EDcl</w:t>
      </w:r>
      <w:proofErr w:type="spellEnd"/>
      <w:proofErr w:type="gramEnd"/>
      <w:r>
        <w:rPr>
          <w:rFonts w:ascii="Arial" w:hAnsi="Arial" w:cs="Arial"/>
          <w:sz w:val="22"/>
          <w:szCs w:val="22"/>
        </w:rPr>
        <w:t xml:space="preserve"> no </w:t>
      </w:r>
      <w:proofErr w:type="spellStart"/>
      <w:r>
        <w:rPr>
          <w:rFonts w:ascii="Arial" w:hAnsi="Arial" w:cs="Arial"/>
          <w:sz w:val="22"/>
          <w:szCs w:val="22"/>
        </w:rPr>
        <w:t>AgRg</w:t>
      </w:r>
      <w:proofErr w:type="spellEnd"/>
      <w:r>
        <w:rPr>
          <w:rFonts w:ascii="Arial" w:hAnsi="Arial" w:cs="Arial"/>
          <w:sz w:val="22"/>
          <w:szCs w:val="22"/>
        </w:rPr>
        <w:t xml:space="preserve"> no </w:t>
      </w:r>
      <w:proofErr w:type="spellStart"/>
      <w:r>
        <w:rPr>
          <w:rFonts w:ascii="Arial" w:hAnsi="Arial" w:cs="Arial"/>
          <w:sz w:val="22"/>
          <w:szCs w:val="22"/>
        </w:rPr>
        <w:t>REsp</w:t>
      </w:r>
      <w:proofErr w:type="spellEnd"/>
      <w:r>
        <w:rPr>
          <w:rFonts w:ascii="Arial" w:hAnsi="Arial" w:cs="Arial"/>
          <w:sz w:val="22"/>
          <w:szCs w:val="22"/>
        </w:rPr>
        <w:t xml:space="preserve"> 897.857/MG, Rel. Ministro LUIZ FUX, PRIMEIRA TURMA, julgado em 12/08/2008, </w:t>
      </w:r>
      <w:proofErr w:type="spellStart"/>
      <w:r>
        <w:rPr>
          <w:rFonts w:ascii="Arial" w:hAnsi="Arial" w:cs="Arial"/>
          <w:sz w:val="22"/>
          <w:szCs w:val="22"/>
        </w:rPr>
        <w:t>DJe</w:t>
      </w:r>
      <w:proofErr w:type="spellEnd"/>
      <w:r>
        <w:rPr>
          <w:rFonts w:ascii="Arial" w:hAnsi="Arial" w:cs="Arial"/>
          <w:sz w:val="22"/>
          <w:szCs w:val="22"/>
        </w:rPr>
        <w:t xml:space="preserve"> 15/09/2008).</w:t>
      </w:r>
    </w:p>
    <w:p w:rsidR="00287AA0" w:rsidRDefault="00287AA0" w:rsidP="00287AA0">
      <w:pPr>
        <w:autoSpaceDE w:val="0"/>
        <w:autoSpaceDN w:val="0"/>
        <w:adjustRightInd w:val="0"/>
        <w:spacing w:before="120" w:after="120"/>
        <w:ind w:firstLine="141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Cumpre esclarecer, ainda, que o dever de fundamentação das decisões judiciais, que consta expressamente do texto constitucional (art. 93, IX, da CF), não impõe ao magistrado a obrigação de utilizar-se dos fundamentos que as partes entendem ser os mais adequados. Basta que a fundamentação apresentada tenha sido suficientemente utilizada no deslinde da questão para que a norma constitucional seja observada em sua integralidade.</w:t>
      </w:r>
    </w:p>
    <w:p w:rsidR="00287AA0" w:rsidRDefault="00287AA0" w:rsidP="00287AA0">
      <w:pPr>
        <w:autoSpaceDE w:val="0"/>
        <w:autoSpaceDN w:val="0"/>
        <w:adjustRightInd w:val="0"/>
        <w:spacing w:before="120" w:after="120"/>
        <w:ind w:firstLine="141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Ressalto, também, que: </w:t>
      </w:r>
      <w:r>
        <w:rPr>
          <w:rFonts w:ascii="Arial" w:hAnsi="Arial" w:cs="Arial"/>
          <w:i/>
          <w:iCs/>
          <w:sz w:val="22"/>
          <w:szCs w:val="22"/>
        </w:rPr>
        <w:t xml:space="preserve">“[...] Descabe, em sede de embargos de declaração, a rediscussão de matéria meritória, exaustivamente analisada pelo acórdão embargado. [...] </w:t>
      </w:r>
      <w:proofErr w:type="gramStart"/>
      <w:r>
        <w:rPr>
          <w:rFonts w:ascii="Arial" w:hAnsi="Arial" w:cs="Arial"/>
          <w:i/>
          <w:iCs/>
          <w:sz w:val="22"/>
          <w:szCs w:val="22"/>
        </w:rPr>
        <w:t>3</w:t>
      </w:r>
      <w:proofErr w:type="gramEnd"/>
      <w:r>
        <w:rPr>
          <w:rFonts w:ascii="Arial" w:hAnsi="Arial" w:cs="Arial"/>
          <w:i/>
          <w:iCs/>
          <w:sz w:val="22"/>
          <w:szCs w:val="22"/>
        </w:rPr>
        <w:t xml:space="preserve">. Embargos de declaração rejeitados. [...]”. </w:t>
      </w:r>
      <w:r>
        <w:rPr>
          <w:rFonts w:ascii="Arial" w:hAnsi="Arial" w:cs="Arial"/>
          <w:sz w:val="22"/>
          <w:szCs w:val="22"/>
        </w:rPr>
        <w:t xml:space="preserve">(EDRESP 200900458330 EDRESP - EMBARGOS DE DECLARAÇÃO NO RECURSO ESPECIAL – 1127913 - </w:t>
      </w:r>
      <w:proofErr w:type="gramStart"/>
      <w:r>
        <w:rPr>
          <w:rFonts w:ascii="Arial" w:hAnsi="Arial" w:cs="Arial"/>
          <w:sz w:val="22"/>
          <w:szCs w:val="22"/>
        </w:rPr>
        <w:t>Relator(</w:t>
      </w:r>
      <w:proofErr w:type="gramEnd"/>
      <w:r>
        <w:rPr>
          <w:rFonts w:ascii="Arial" w:hAnsi="Arial" w:cs="Arial"/>
          <w:sz w:val="22"/>
          <w:szCs w:val="22"/>
        </w:rPr>
        <w:t>a) LUIS FELIPE SALOMÃO, Órgão julgador QUARTA TURMA, Fonte DJE, DATA: 04/02/2013).</w:t>
      </w:r>
    </w:p>
    <w:p w:rsidR="00287AA0" w:rsidRDefault="00287AA0" w:rsidP="00287AA0">
      <w:pPr>
        <w:autoSpaceDE w:val="0"/>
        <w:autoSpaceDN w:val="0"/>
        <w:adjustRightInd w:val="0"/>
        <w:spacing w:before="120" w:after="120"/>
        <w:ind w:firstLine="141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Desta feita, não há omissão, contradição, obscuridade ou erro material a </w:t>
      </w:r>
      <w:proofErr w:type="gramStart"/>
      <w:r>
        <w:rPr>
          <w:rFonts w:ascii="Arial" w:hAnsi="Arial" w:cs="Arial"/>
          <w:sz w:val="22"/>
          <w:szCs w:val="22"/>
        </w:rPr>
        <w:t>serem</w:t>
      </w:r>
      <w:proofErr w:type="gramEnd"/>
      <w:r>
        <w:rPr>
          <w:rFonts w:ascii="Arial" w:hAnsi="Arial" w:cs="Arial"/>
          <w:sz w:val="22"/>
          <w:szCs w:val="22"/>
        </w:rPr>
        <w:t xml:space="preserve"> sanados, vez que o julgado atacado abordou todos os pontos necessários à resolução da lide, de forma completa e clara.</w:t>
      </w:r>
    </w:p>
    <w:p w:rsidR="00287AA0" w:rsidRDefault="00287AA0" w:rsidP="00287AA0">
      <w:pPr>
        <w:autoSpaceDE w:val="0"/>
        <w:autoSpaceDN w:val="0"/>
        <w:adjustRightInd w:val="0"/>
        <w:spacing w:before="120" w:after="120"/>
        <w:ind w:firstLine="141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Verifico que a finalidade dos presentes embargos de declaração não é a de sanar eventuais erros no julgado, mas tão somente a reapreciação dos termos do acórdão.</w:t>
      </w:r>
    </w:p>
    <w:p w:rsidR="00287AA0" w:rsidRDefault="00287AA0" w:rsidP="00287AA0">
      <w:pPr>
        <w:autoSpaceDE w:val="0"/>
        <w:autoSpaceDN w:val="0"/>
        <w:adjustRightInd w:val="0"/>
        <w:spacing w:before="120" w:after="120"/>
        <w:ind w:firstLine="141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Ante o exposto, </w:t>
      </w:r>
      <w:r>
        <w:rPr>
          <w:rFonts w:ascii="Arial" w:hAnsi="Arial" w:cs="Arial"/>
          <w:b/>
          <w:bCs/>
          <w:sz w:val="22"/>
          <w:szCs w:val="22"/>
        </w:rPr>
        <w:t xml:space="preserve">nego provimento </w:t>
      </w:r>
      <w:r>
        <w:rPr>
          <w:rFonts w:ascii="Arial" w:hAnsi="Arial" w:cs="Arial"/>
          <w:sz w:val="22"/>
          <w:szCs w:val="22"/>
        </w:rPr>
        <w:t>aos embargos de declaração.</w:t>
      </w:r>
    </w:p>
    <w:p w:rsidR="00287AA0" w:rsidRDefault="00287AA0" w:rsidP="00287AA0">
      <w:pPr>
        <w:autoSpaceDE w:val="0"/>
        <w:autoSpaceDN w:val="0"/>
        <w:adjustRightInd w:val="0"/>
        <w:spacing w:before="120" w:after="120"/>
        <w:ind w:firstLine="141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É o voto.</w:t>
      </w:r>
    </w:p>
    <w:p w:rsidR="00287AA0" w:rsidRDefault="00287AA0" w:rsidP="00287AA0">
      <w:pPr>
        <w:pStyle w:val="Identificao"/>
        <w:rPr>
          <w:rFonts w:cs="Arial"/>
          <w:szCs w:val="22"/>
        </w:rPr>
      </w:pPr>
    </w:p>
    <w:p w:rsidR="00287AA0" w:rsidRDefault="00287AA0" w:rsidP="00287AA0"/>
    <w:p w:rsidR="00287AA0" w:rsidRDefault="00287AA0" w:rsidP="00287AA0"/>
    <w:p w:rsidR="00287AA0" w:rsidRDefault="00287AA0" w:rsidP="00287AA0"/>
    <w:p w:rsidR="00287AA0" w:rsidRDefault="00287AA0" w:rsidP="00287AA0"/>
    <w:p w:rsidR="0015179D" w:rsidRPr="00287AA0" w:rsidRDefault="0015179D" w:rsidP="00287AA0">
      <w:pPr>
        <w:pStyle w:val="Identificao"/>
      </w:pPr>
    </w:p>
    <w:sectPr w:rsidR="0015179D" w:rsidRPr="00287AA0" w:rsidSect="004554A7">
      <w:headerReference w:type="default" r:id="rId7"/>
      <w:footerReference w:type="default" r:id="rId8"/>
      <w:headerReference w:type="first" r:id="rId9"/>
      <w:footerReference w:type="first" r:id="rId10"/>
      <w:pgSz w:w="11907" w:h="16840" w:code="9"/>
      <w:pgMar w:top="850" w:right="850" w:bottom="850" w:left="1417" w:header="56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87AA0" w:rsidRDefault="00287AA0">
      <w:r>
        <w:separator/>
      </w:r>
    </w:p>
  </w:endnote>
  <w:endnote w:type="continuationSeparator" w:id="0">
    <w:p w:rsidR="00287AA0" w:rsidRDefault="00287AA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00002FF" w:usb1="0000FCFF" w:usb2="00000001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Interleaved 2of5">
    <w:panose1 w:val="000004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3610" w:rsidRDefault="00413610">
    <w:pPr>
      <w:tabs>
        <w:tab w:val="right" w:pos="9360"/>
      </w:tabs>
    </w:pPr>
    <w:r>
      <w:rPr>
        <w:rFonts w:ascii="Arial" w:hAnsi="Arial"/>
        <w:sz w:val="10"/>
      </w:rPr>
      <w:t>TRF 1ª REGIÃO/IMP.15-02-05</w:t>
    </w:r>
    <w:r>
      <w:rPr>
        <w:rFonts w:ascii="Arial" w:hAnsi="Arial"/>
        <w:sz w:val="10"/>
      </w:rPr>
      <w:tab/>
    </w:r>
    <w:r w:rsidR="009505EF">
      <w:rPr>
        <w:rFonts w:ascii="Arial" w:hAnsi="Arial"/>
        <w:sz w:val="10"/>
      </w:rPr>
      <w:fldChar w:fldCharType="begin"/>
    </w:r>
    <w:r>
      <w:rPr>
        <w:rFonts w:ascii="Arial" w:hAnsi="Arial"/>
        <w:sz w:val="10"/>
      </w:rPr>
      <w:instrText xml:space="preserve"> FILENAME \p </w:instrText>
    </w:r>
    <w:r w:rsidR="009505EF">
      <w:rPr>
        <w:rFonts w:ascii="Arial" w:hAnsi="Arial"/>
        <w:sz w:val="10"/>
      </w:rPr>
      <w:fldChar w:fldCharType="separate"/>
    </w:r>
    <w:r w:rsidR="00C37E1A">
      <w:rPr>
        <w:rFonts w:ascii="Arial" w:hAnsi="Arial"/>
        <w:noProof/>
        <w:sz w:val="10"/>
      </w:rPr>
      <w:t>W:\ASSESSORIA - VOTOS\ED - EMBARGOS DE DECLARAÇÃO\ADQ - ED - 24139862012 - MA - tr25253es - foro laudemio.docx</w:t>
    </w:r>
    <w:proofErr w:type="gramStart"/>
    <w:r w:rsidR="009505EF">
      <w:rPr>
        <w:rFonts w:ascii="Arial" w:hAnsi="Arial"/>
        <w:sz w:val="10"/>
      </w:rPr>
      <w:fldChar w:fldCharType="end"/>
    </w:r>
    <w:proofErr w:type="gramEnd"/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3610" w:rsidRDefault="00413610">
    <w:pPr>
      <w:tabs>
        <w:tab w:val="right" w:pos="9360"/>
      </w:tabs>
      <w:rPr>
        <w:rFonts w:ascii="Arial" w:hAnsi="Arial"/>
        <w:sz w:val="13"/>
      </w:rPr>
    </w:pPr>
    <w:r>
      <w:rPr>
        <w:rFonts w:ascii="Arial" w:hAnsi="Arial"/>
        <w:sz w:val="10"/>
      </w:rPr>
      <w:t>TRF 1ª REGIÃO/IMP.15-02-05</w:t>
    </w:r>
    <w:r>
      <w:rPr>
        <w:rFonts w:ascii="Arial" w:hAnsi="Arial"/>
        <w:sz w:val="10"/>
      </w:rPr>
      <w:tab/>
    </w:r>
    <w:r w:rsidR="009505EF">
      <w:rPr>
        <w:rFonts w:ascii="Arial" w:hAnsi="Arial"/>
        <w:sz w:val="13"/>
      </w:rPr>
      <w:fldChar w:fldCharType="begin"/>
    </w:r>
    <w:r>
      <w:rPr>
        <w:rFonts w:ascii="Arial" w:hAnsi="Arial"/>
        <w:sz w:val="13"/>
      </w:rPr>
      <w:instrText xml:space="preserve"> FILENAME \p </w:instrText>
    </w:r>
    <w:r w:rsidR="009505EF">
      <w:rPr>
        <w:rFonts w:ascii="Arial" w:hAnsi="Arial"/>
        <w:sz w:val="13"/>
      </w:rPr>
      <w:fldChar w:fldCharType="separate"/>
    </w:r>
    <w:r w:rsidR="00C37E1A">
      <w:rPr>
        <w:rFonts w:ascii="Arial" w:hAnsi="Arial"/>
        <w:noProof/>
        <w:sz w:val="13"/>
      </w:rPr>
      <w:t>W:\ASSESSORIA - VOTOS\ED - EMBARGOS DE DECLARAÇÃO\ADQ - ED - 24139862012 - MA - tr25253es - foro laudemio.docx</w:t>
    </w:r>
    <w:proofErr w:type="gramStart"/>
    <w:r w:rsidR="009505EF">
      <w:rPr>
        <w:rFonts w:ascii="Arial" w:hAnsi="Arial"/>
        <w:sz w:val="13"/>
      </w:rPr>
      <w:fldChar w:fldCharType="end"/>
    </w:r>
    <w:proofErr w:type="gramEnd"/>
  </w:p>
  <w:p w:rsidR="00413610" w:rsidRDefault="00413610">
    <w:pPr>
      <w:tabs>
        <w:tab w:val="right" w:pos="9360"/>
      </w:tabs>
      <w:rPr>
        <w:sz w:val="13"/>
      </w:rPr>
    </w:pPr>
    <w:r>
      <w:rPr>
        <w:rFonts w:ascii="Arial" w:hAnsi="Arial"/>
        <w:sz w:val="13"/>
      </w:rPr>
      <w:t xml:space="preserve">Criado por </w:t>
    </w:r>
    <w:r w:rsidR="009505EF">
      <w:rPr>
        <w:rFonts w:ascii="Arial" w:hAnsi="Arial"/>
        <w:sz w:val="13"/>
      </w:rPr>
      <w:fldChar w:fldCharType="begin"/>
    </w:r>
    <w:r>
      <w:rPr>
        <w:rFonts w:ascii="Arial" w:hAnsi="Arial"/>
        <w:sz w:val="13"/>
      </w:rPr>
      <w:instrText xml:space="preserve"> AUTHOR </w:instrText>
    </w:r>
    <w:r w:rsidR="009505EF">
      <w:rPr>
        <w:rFonts w:ascii="Arial" w:hAnsi="Arial"/>
        <w:sz w:val="13"/>
      </w:rPr>
      <w:fldChar w:fldCharType="separate"/>
    </w:r>
    <w:r w:rsidR="00C37E1A">
      <w:rPr>
        <w:rFonts w:ascii="Arial" w:hAnsi="Arial"/>
        <w:noProof/>
        <w:sz w:val="13"/>
      </w:rPr>
      <w:t>tr25253es</w:t>
    </w:r>
    <w:r w:rsidR="009505EF">
      <w:rPr>
        <w:rFonts w:ascii="Arial" w:hAnsi="Arial"/>
        <w:sz w:val="13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87AA0" w:rsidRDefault="00287AA0">
      <w:r>
        <w:separator/>
      </w:r>
    </w:p>
  </w:footnote>
  <w:footnote w:type="continuationSeparator" w:id="0">
    <w:p w:rsidR="00287AA0" w:rsidRDefault="00287AA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3610" w:rsidRDefault="00413610">
    <w:pPr>
      <w:spacing w:before="120"/>
      <w:rPr>
        <w:rFonts w:ascii="Arial" w:hAnsi="Arial"/>
        <w:sz w:val="16"/>
      </w:rPr>
    </w:pPr>
    <w:r>
      <w:rPr>
        <w:rFonts w:ascii="Arial" w:hAnsi="Arial"/>
        <w:sz w:val="16"/>
      </w:rPr>
      <w:t>PODER JUDICIÁRIO</w:t>
    </w:r>
  </w:p>
  <w:p w:rsidR="00413610" w:rsidRDefault="00413610">
    <w:pPr>
      <w:tabs>
        <w:tab w:val="right" w:pos="9540"/>
      </w:tabs>
      <w:rPr>
        <w:rFonts w:ascii="Arial" w:hAnsi="Arial" w:cs="Arial"/>
        <w:bCs/>
        <w:sz w:val="16"/>
      </w:rPr>
    </w:pPr>
    <w:r>
      <w:rPr>
        <w:rFonts w:ascii="Arial" w:hAnsi="Arial"/>
        <w:b/>
        <w:sz w:val="20"/>
      </w:rPr>
      <w:t>TRIBUNAL REGIONAL FEDERAL DA PRIMEIRA REGIÃO</w:t>
    </w:r>
    <w:r>
      <w:rPr>
        <w:rFonts w:ascii="Arial" w:hAnsi="Arial"/>
        <w:b/>
        <w:sz w:val="20"/>
      </w:rPr>
      <w:tab/>
    </w:r>
    <w:r>
      <w:rPr>
        <w:rFonts w:ascii="Arial" w:hAnsi="Arial" w:cs="Arial"/>
        <w:bCs/>
        <w:sz w:val="16"/>
      </w:rPr>
      <w:t>fls.</w:t>
    </w:r>
    <w:r w:rsidR="009505EF">
      <w:rPr>
        <w:rFonts w:ascii="Arial" w:hAnsi="Arial" w:cs="Arial"/>
        <w:bCs/>
        <w:sz w:val="16"/>
      </w:rPr>
      <w:fldChar w:fldCharType="begin"/>
    </w:r>
    <w:r>
      <w:rPr>
        <w:rFonts w:ascii="Arial" w:hAnsi="Arial" w:cs="Arial"/>
        <w:bCs/>
        <w:sz w:val="16"/>
      </w:rPr>
      <w:instrText xml:space="preserve"> PAGE </w:instrText>
    </w:r>
    <w:r w:rsidR="009505EF">
      <w:rPr>
        <w:rFonts w:ascii="Arial" w:hAnsi="Arial" w:cs="Arial"/>
        <w:bCs/>
        <w:sz w:val="16"/>
      </w:rPr>
      <w:fldChar w:fldCharType="separate"/>
    </w:r>
    <w:r w:rsidR="00FF752D">
      <w:rPr>
        <w:rFonts w:ascii="Arial" w:hAnsi="Arial" w:cs="Arial"/>
        <w:bCs/>
        <w:noProof/>
        <w:sz w:val="16"/>
      </w:rPr>
      <w:t>2</w:t>
    </w:r>
    <w:r w:rsidR="009505EF">
      <w:rPr>
        <w:rFonts w:ascii="Arial" w:hAnsi="Arial" w:cs="Arial"/>
        <w:bCs/>
        <w:sz w:val="16"/>
      </w:rPr>
      <w:fldChar w:fldCharType="end"/>
    </w:r>
    <w:r>
      <w:rPr>
        <w:rFonts w:ascii="Arial" w:hAnsi="Arial" w:cs="Arial"/>
        <w:bCs/>
        <w:sz w:val="16"/>
      </w:rPr>
      <w:t>/</w:t>
    </w:r>
    <w:r w:rsidR="009505EF">
      <w:rPr>
        <w:rFonts w:ascii="Arial" w:hAnsi="Arial" w:cs="Arial"/>
        <w:bCs/>
        <w:sz w:val="16"/>
      </w:rPr>
      <w:fldChar w:fldCharType="begin"/>
    </w:r>
    <w:r>
      <w:rPr>
        <w:rFonts w:ascii="Arial" w:hAnsi="Arial" w:cs="Arial"/>
        <w:bCs/>
        <w:sz w:val="16"/>
      </w:rPr>
      <w:instrText xml:space="preserve"> NUMPAGES </w:instrText>
    </w:r>
    <w:r w:rsidR="009505EF">
      <w:rPr>
        <w:rFonts w:ascii="Arial" w:hAnsi="Arial" w:cs="Arial"/>
        <w:bCs/>
        <w:sz w:val="16"/>
      </w:rPr>
      <w:fldChar w:fldCharType="separate"/>
    </w:r>
    <w:r w:rsidR="00FF752D">
      <w:rPr>
        <w:rFonts w:ascii="Arial" w:hAnsi="Arial" w:cs="Arial"/>
        <w:bCs/>
        <w:noProof/>
        <w:sz w:val="16"/>
      </w:rPr>
      <w:t>3</w:t>
    </w:r>
    <w:r w:rsidR="009505EF">
      <w:rPr>
        <w:rFonts w:ascii="Arial" w:hAnsi="Arial" w:cs="Arial"/>
        <w:bCs/>
        <w:sz w:val="16"/>
      </w:rPr>
      <w:fldChar w:fldCharType="end"/>
    </w:r>
  </w:p>
  <w:p w:rsidR="00287AA0" w:rsidRPr="00287AA0" w:rsidRDefault="00287AA0" w:rsidP="00287AA0">
    <w:pPr>
      <w:pStyle w:val="Identificao"/>
    </w:pPr>
    <w:r>
      <w:t>EMBARGOS DE DECLARAÇÃO NA</w:t>
    </w:r>
    <w:r>
      <w:rPr>
        <w:b/>
      </w:rPr>
      <w:t xml:space="preserve"> </w:t>
    </w:r>
    <w:r w:rsidRPr="00EE4C90">
      <w:t>APELAÇÃO/REEXAME NECESSÁRIO</w:t>
    </w:r>
    <w:proofErr w:type="gramStart"/>
    <w:r w:rsidRPr="00EE4C90">
      <w:t xml:space="preserve">  </w:t>
    </w:r>
    <w:proofErr w:type="gramEnd"/>
    <w:r w:rsidRPr="00EE4C90">
      <w:t>0024139-86.2012.4.01.3700/MA</w:t>
    </w:r>
  </w:p>
  <w:p w:rsidR="00287AA0" w:rsidRDefault="00287AA0">
    <w:pPr>
      <w:tabs>
        <w:tab w:val="right" w:pos="9540"/>
      </w:tabs>
      <w:rPr>
        <w:rFonts w:ascii="Arial" w:hAnsi="Arial" w:cs="Arial"/>
        <w:bCs/>
        <w:sz w:val="16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7AA0" w:rsidRPr="00287AA0" w:rsidRDefault="00287AA0" w:rsidP="00287AA0">
    <w:pPr>
      <w:jc w:val="right"/>
      <w:rPr>
        <w:rFonts w:ascii="Interleaved 2of5" w:hAnsi="Interleaved 2of5"/>
        <w:sz w:val="48"/>
      </w:rPr>
    </w:pPr>
    <w:r w:rsidRPr="00287AA0">
      <w:rPr>
        <w:rFonts w:ascii="Interleaved 2of5" w:hAnsi="Interleaved 2of5"/>
        <w:sz w:val="48"/>
      </w:rPr>
      <w:t>(H=</w:t>
    </w:r>
    <w:proofErr w:type="gramStart"/>
    <w:r w:rsidRPr="00287AA0">
      <w:rPr>
        <w:rFonts w:ascii="Interleaved 2of5" w:hAnsi="Interleaved 2of5"/>
        <w:sz w:val="48"/>
      </w:rPr>
      <w:t>ðÌ1H1U0</w:t>
    </w:r>
    <w:proofErr w:type="gramEnd"/>
    <w:r w:rsidRPr="00287AA0">
      <w:rPr>
        <w:rFonts w:ascii="Interleaved 2of5" w:hAnsi="Interleaved 2of5"/>
        <w:sz w:val="48"/>
      </w:rPr>
      <w:t>)</w:t>
    </w:r>
  </w:p>
  <w:p w:rsidR="00287AA0" w:rsidRDefault="00287AA0" w:rsidP="00287AA0">
    <w:pPr>
      <w:spacing w:before="120"/>
      <w:rPr>
        <w:rFonts w:ascii="Arial" w:hAnsi="Arial"/>
        <w:sz w:val="16"/>
      </w:rPr>
    </w:pPr>
  </w:p>
  <w:p w:rsidR="004554A7" w:rsidRDefault="00287AA0" w:rsidP="004554A7">
    <w:pPr>
      <w:spacing w:before="120"/>
      <w:jc w:val="center"/>
      <w:rPr>
        <w:rFonts w:ascii="Arial" w:hAnsi="Arial"/>
        <w:sz w:val="16"/>
      </w:rPr>
    </w:pPr>
    <w:r>
      <w:rPr>
        <w:rFonts w:ascii="Arial" w:hAnsi="Arial"/>
        <w:noProof/>
        <w:sz w:val="16"/>
      </w:rPr>
      <w:drawing>
        <wp:inline distT="0" distB="0" distL="0" distR="0">
          <wp:extent cx="762000" cy="800100"/>
          <wp:effectExtent l="19050" t="0" r="0" b="0"/>
          <wp:docPr id="1" name="Imagem 1" descr="brasao_do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_doc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2000" cy="8001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413610" w:rsidRDefault="00413610" w:rsidP="004554A7">
    <w:pPr>
      <w:spacing w:before="120"/>
      <w:jc w:val="center"/>
      <w:rPr>
        <w:rFonts w:ascii="Arial" w:hAnsi="Arial"/>
        <w:sz w:val="16"/>
      </w:rPr>
    </w:pPr>
    <w:r>
      <w:rPr>
        <w:rFonts w:ascii="Arial" w:hAnsi="Arial"/>
        <w:sz w:val="16"/>
      </w:rPr>
      <w:t>PODER JUDICIÁRIO</w:t>
    </w:r>
  </w:p>
  <w:p w:rsidR="00413610" w:rsidRDefault="00413610" w:rsidP="004554A7">
    <w:pPr>
      <w:jc w:val="center"/>
    </w:pPr>
    <w:r>
      <w:rPr>
        <w:rFonts w:ascii="Arial" w:hAnsi="Arial"/>
        <w:b/>
        <w:sz w:val="20"/>
      </w:rPr>
      <w:t>TRIBUNAL REGIONAL FEDERAL DA PRIMEIRA REGIÃO</w:t>
    </w:r>
    <w:r>
      <w:rPr>
        <w:rFonts w:ascii="Arial" w:hAnsi="Arial"/>
        <w:b/>
        <w:sz w:val="20"/>
      </w:rP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C66DAC"/>
    <w:multiLevelType w:val="hybridMultilevel"/>
    <w:tmpl w:val="CAEEAB38"/>
    <w:lvl w:ilvl="0" w:tplc="1CB0F4D0">
      <w:start w:val="1"/>
      <w:numFmt w:val="bullet"/>
      <w:lvlText w:val=""/>
      <w:lvlJc w:val="left"/>
      <w:pPr>
        <w:tabs>
          <w:tab w:val="num" w:pos="927"/>
        </w:tabs>
        <w:ind w:left="927" w:hanging="360"/>
      </w:pPr>
      <w:rPr>
        <w:rFonts w:ascii="Symbol" w:hAnsi="Symbol" w:hint="default"/>
        <w:color w:val="auto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24A344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5EB4F8E"/>
    <w:multiLevelType w:val="hybridMultilevel"/>
    <w:tmpl w:val="C3E6D79C"/>
    <w:lvl w:ilvl="0" w:tplc="47D29EBA">
      <w:start w:val="1"/>
      <w:numFmt w:val="lowerLetter"/>
      <w:lvlText w:val="%1)"/>
      <w:lvlJc w:val="left"/>
      <w:pPr>
        <w:tabs>
          <w:tab w:val="num" w:pos="1500"/>
        </w:tabs>
        <w:ind w:left="15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220"/>
        </w:tabs>
        <w:ind w:left="222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940"/>
        </w:tabs>
        <w:ind w:left="294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660"/>
        </w:tabs>
        <w:ind w:left="366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380"/>
        </w:tabs>
        <w:ind w:left="438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100"/>
        </w:tabs>
        <w:ind w:left="510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820"/>
        </w:tabs>
        <w:ind w:left="582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540"/>
        </w:tabs>
        <w:ind w:left="654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260"/>
        </w:tabs>
        <w:ind w:left="7260" w:hanging="180"/>
      </w:pPr>
    </w:lvl>
  </w:abstractNum>
  <w:abstractNum w:abstractNumId="2">
    <w:nsid w:val="2A262624"/>
    <w:multiLevelType w:val="multilevel"/>
    <w:tmpl w:val="78EEB8B6"/>
    <w:lvl w:ilvl="0">
      <w:start w:val="1"/>
      <w:numFmt w:val="bullet"/>
      <w:lvlText w:val=""/>
      <w:lvlJc w:val="left"/>
      <w:pPr>
        <w:tabs>
          <w:tab w:val="num" w:pos="567"/>
        </w:tabs>
        <w:ind w:left="567" w:hanging="397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tabs>
          <w:tab w:val="num" w:pos="1211"/>
        </w:tabs>
        <w:ind w:left="1134" w:hanging="283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2061"/>
        </w:tabs>
        <w:ind w:left="1928" w:hanging="227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195"/>
        </w:tabs>
        <w:ind w:left="3119" w:hanging="284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4139"/>
        </w:tabs>
        <w:ind w:left="4139" w:hanging="737"/>
      </w:pPr>
      <w:rPr>
        <w:rFonts w:ascii="Symbol" w:hAnsi="Symbol" w:hint="default"/>
        <w:sz w:val="14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attachedTemplate r:id="rId1"/>
  <w:stylePaneFormatFilter w:val="1801"/>
  <w:defaultTabStop w:val="709"/>
  <w:hyphenationZone w:val="425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93CD7"/>
    <w:rsid w:val="00024100"/>
    <w:rsid w:val="00111976"/>
    <w:rsid w:val="0015179D"/>
    <w:rsid w:val="00191A8C"/>
    <w:rsid w:val="002331F7"/>
    <w:rsid w:val="00287AA0"/>
    <w:rsid w:val="00413610"/>
    <w:rsid w:val="004269A8"/>
    <w:rsid w:val="004554A7"/>
    <w:rsid w:val="00462716"/>
    <w:rsid w:val="00471CDF"/>
    <w:rsid w:val="004C17AC"/>
    <w:rsid w:val="00593CD7"/>
    <w:rsid w:val="005E20DB"/>
    <w:rsid w:val="006779DE"/>
    <w:rsid w:val="006A4ECE"/>
    <w:rsid w:val="007A7066"/>
    <w:rsid w:val="007C3424"/>
    <w:rsid w:val="008713AE"/>
    <w:rsid w:val="00872397"/>
    <w:rsid w:val="008A3D69"/>
    <w:rsid w:val="008C4395"/>
    <w:rsid w:val="009505EF"/>
    <w:rsid w:val="0099169E"/>
    <w:rsid w:val="00C37E1A"/>
    <w:rsid w:val="00C5492A"/>
    <w:rsid w:val="00D221D6"/>
    <w:rsid w:val="00DD0AC9"/>
    <w:rsid w:val="00E850E4"/>
    <w:rsid w:val="00EE6447"/>
    <w:rsid w:val="00FF75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287AA0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Identificao">
    <w:name w:val="Identificação"/>
    <w:basedOn w:val="ementa"/>
    <w:link w:val="IdentificaoChar"/>
    <w:rsid w:val="00593CD7"/>
    <w:pPr>
      <w:spacing w:before="0" w:after="0"/>
    </w:pPr>
  </w:style>
  <w:style w:type="paragraph" w:customStyle="1" w:styleId="ementa">
    <w:name w:val="ementa"/>
    <w:basedOn w:val="Pargrafo"/>
    <w:rsid w:val="002331F7"/>
    <w:pPr>
      <w:ind w:firstLine="0"/>
    </w:pPr>
  </w:style>
  <w:style w:type="paragraph" w:customStyle="1" w:styleId="Pargrafo">
    <w:name w:val="Parágrafo"/>
    <w:basedOn w:val="Normal"/>
    <w:link w:val="PargrafoChar"/>
    <w:rsid w:val="00593CD7"/>
    <w:pPr>
      <w:spacing w:before="120" w:after="120"/>
      <w:ind w:firstLine="1418"/>
      <w:jc w:val="both"/>
    </w:pPr>
    <w:rPr>
      <w:rFonts w:ascii="Arial" w:hAnsi="Arial"/>
      <w:sz w:val="22"/>
    </w:rPr>
  </w:style>
  <w:style w:type="paragraph" w:customStyle="1" w:styleId="centralizar">
    <w:name w:val="centralizar"/>
    <w:basedOn w:val="Pargrafo"/>
    <w:next w:val="Pargrafo"/>
    <w:rsid w:val="00593CD7"/>
    <w:pPr>
      <w:spacing w:before="360" w:after="360"/>
      <w:ind w:firstLine="0"/>
      <w:jc w:val="center"/>
    </w:pPr>
    <w:rPr>
      <w:b/>
    </w:rPr>
  </w:style>
  <w:style w:type="paragraph" w:customStyle="1" w:styleId="Transcrio">
    <w:name w:val="Transcrição"/>
    <w:basedOn w:val="Pargrafo"/>
    <w:link w:val="TranscrioChar"/>
    <w:qFormat/>
    <w:rsid w:val="00593CD7"/>
    <w:pPr>
      <w:spacing w:before="60" w:after="60"/>
      <w:ind w:left="2268" w:firstLine="0"/>
    </w:pPr>
    <w:rPr>
      <w:i/>
    </w:rPr>
  </w:style>
  <w:style w:type="paragraph" w:styleId="Cabealho">
    <w:name w:val="header"/>
    <w:basedOn w:val="Normal"/>
    <w:rsid w:val="002331F7"/>
    <w:pPr>
      <w:tabs>
        <w:tab w:val="center" w:pos="4252"/>
        <w:tab w:val="right" w:pos="8504"/>
      </w:tabs>
    </w:pPr>
  </w:style>
  <w:style w:type="paragraph" w:customStyle="1" w:styleId="transcrio2">
    <w:name w:val="transcrição 2"/>
    <w:basedOn w:val="Transcrio"/>
    <w:rsid w:val="00593CD7"/>
    <w:pPr>
      <w:ind w:left="2835"/>
    </w:pPr>
  </w:style>
  <w:style w:type="paragraph" w:customStyle="1" w:styleId="transcrio3">
    <w:name w:val="transcrição 3"/>
    <w:basedOn w:val="Identificao"/>
    <w:rsid w:val="00593CD7"/>
    <w:pPr>
      <w:ind w:left="3686"/>
    </w:pPr>
    <w:rPr>
      <w:i/>
      <w:iCs/>
    </w:rPr>
  </w:style>
  <w:style w:type="paragraph" w:customStyle="1" w:styleId="transcrio4">
    <w:name w:val="transcrição 4"/>
    <w:basedOn w:val="transcrio3"/>
    <w:rsid w:val="00593CD7"/>
    <w:pPr>
      <w:ind w:left="4536"/>
    </w:pPr>
  </w:style>
  <w:style w:type="paragraph" w:customStyle="1" w:styleId="assinatura">
    <w:name w:val="assinatura"/>
    <w:basedOn w:val="Pargrafo"/>
    <w:rsid w:val="00593CD7"/>
    <w:pPr>
      <w:spacing w:before="0" w:after="0"/>
      <w:ind w:firstLine="0"/>
      <w:jc w:val="center"/>
    </w:pPr>
  </w:style>
  <w:style w:type="paragraph" w:customStyle="1" w:styleId="Pargrafo2">
    <w:name w:val="Parágrafo 2"/>
    <w:basedOn w:val="Pargrafo"/>
    <w:rsid w:val="00593CD7"/>
    <w:pPr>
      <w:spacing w:line="480" w:lineRule="auto"/>
    </w:pPr>
  </w:style>
  <w:style w:type="paragraph" w:styleId="Rodap">
    <w:name w:val="footer"/>
    <w:basedOn w:val="Normal"/>
    <w:rsid w:val="002331F7"/>
    <w:pPr>
      <w:tabs>
        <w:tab w:val="center" w:pos="4252"/>
        <w:tab w:val="right" w:pos="8504"/>
      </w:tabs>
    </w:pPr>
  </w:style>
  <w:style w:type="paragraph" w:styleId="TextosemFormatao">
    <w:name w:val="Plain Text"/>
    <w:basedOn w:val="Normal"/>
    <w:link w:val="TextosemFormataoChar"/>
    <w:uiPriority w:val="99"/>
    <w:unhideWhenUsed/>
    <w:rsid w:val="00287AA0"/>
    <w:rPr>
      <w:rFonts w:ascii="Consolas" w:eastAsiaTheme="minorHAnsi" w:hAnsi="Consolas" w:cstheme="minorBidi"/>
      <w:sz w:val="21"/>
      <w:szCs w:val="21"/>
      <w:lang w:eastAsia="en-US"/>
    </w:rPr>
  </w:style>
  <w:style w:type="character" w:customStyle="1" w:styleId="TextosemFormataoChar">
    <w:name w:val="Texto sem Formatação Char"/>
    <w:basedOn w:val="Fontepargpadro"/>
    <w:link w:val="TextosemFormatao"/>
    <w:uiPriority w:val="99"/>
    <w:rsid w:val="00287AA0"/>
    <w:rPr>
      <w:rFonts w:ascii="Consolas" w:eastAsiaTheme="minorHAnsi" w:hAnsi="Consolas" w:cstheme="minorBidi"/>
      <w:sz w:val="21"/>
      <w:szCs w:val="21"/>
      <w:lang w:eastAsia="en-US"/>
    </w:rPr>
  </w:style>
  <w:style w:type="character" w:customStyle="1" w:styleId="IdentificaoChar">
    <w:name w:val="Identificação Char"/>
    <w:basedOn w:val="Fontepargpadro"/>
    <w:link w:val="Identificao"/>
    <w:locked/>
    <w:rsid w:val="00287AA0"/>
    <w:rPr>
      <w:rFonts w:ascii="Arial" w:hAnsi="Arial"/>
      <w:sz w:val="22"/>
      <w:szCs w:val="24"/>
    </w:rPr>
  </w:style>
  <w:style w:type="character" w:customStyle="1" w:styleId="PargrafoChar">
    <w:name w:val="Parágrafo Char"/>
    <w:basedOn w:val="Fontepargpadro"/>
    <w:link w:val="Pargrafo"/>
    <w:locked/>
    <w:rsid w:val="00287AA0"/>
    <w:rPr>
      <w:rFonts w:ascii="Arial" w:hAnsi="Arial"/>
      <w:sz w:val="22"/>
      <w:szCs w:val="24"/>
    </w:rPr>
  </w:style>
  <w:style w:type="character" w:customStyle="1" w:styleId="TranscrioChar">
    <w:name w:val="Transcrição Char"/>
    <w:basedOn w:val="PargrafoChar"/>
    <w:link w:val="Transcrio"/>
    <w:locked/>
    <w:rsid w:val="00287AA0"/>
    <w:rPr>
      <w:i/>
    </w:rPr>
  </w:style>
  <w:style w:type="paragraph" w:styleId="Textodebalo">
    <w:name w:val="Balloon Text"/>
    <w:basedOn w:val="Normal"/>
    <w:link w:val="TextodebaloChar"/>
    <w:rsid w:val="0011197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11197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400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11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srvora2-trf1\Modelos\modelos%20gabinetes\M&#193;SCARA%20PADR&#195;O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MÁSCARA PADRÃO</Template>
  <TotalTime>0</TotalTime>
  <Pages>3</Pages>
  <Words>1239</Words>
  <Characters>7046</Characters>
  <Application>Microsoft Office Word</Application>
  <DocSecurity>0</DocSecurity>
  <Lines>58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trf1</Company>
  <LinksUpToDate>false</LinksUpToDate>
  <CharactersWithSpaces>8269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tr25253es</dc:creator>
  <cp:lastModifiedBy>tr19698ps</cp:lastModifiedBy>
  <cp:revision>2</cp:revision>
  <cp:lastPrinted>2018-09-03T14:25:00Z</cp:lastPrinted>
  <dcterms:created xsi:type="dcterms:W3CDTF">2018-09-06T22:09:00Z</dcterms:created>
  <dcterms:modified xsi:type="dcterms:W3CDTF">2018-09-06T22:09:00Z</dcterms:modified>
</cp:coreProperties>
</file>