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6C9" w:rsidRDefault="00DF56C9" w:rsidP="004F6F29">
      <w:pPr>
        <w:pStyle w:val="TextosemFormatao"/>
        <w:rPr>
          <w:rFonts w:ascii="Courier New" w:hAnsi="Courier New" w:cs="Courier New"/>
        </w:rPr>
      </w:pPr>
    </w:p>
    <w:p w:rsidR="00DF56C9" w:rsidRPr="004F6F29" w:rsidRDefault="00DF56C9" w:rsidP="00DF56C9">
      <w:pPr>
        <w:pStyle w:val="Identificao"/>
      </w:pPr>
      <w:r w:rsidRPr="004F6F29">
        <w:t xml:space="preserve">Numeração Única: 103089220124013304 </w:t>
      </w:r>
    </w:p>
    <w:p w:rsidR="00DF56C9" w:rsidRPr="004F6F29" w:rsidRDefault="00DF56C9" w:rsidP="00DF56C9">
      <w:pPr>
        <w:pStyle w:val="Identificao"/>
      </w:pPr>
      <w:r w:rsidRPr="004F6F29">
        <w:t>APELAÇÃO/REEXAME NECESSÁRIO  0010308-92.2012.4.01.3304/BA</w:t>
      </w:r>
    </w:p>
    <w:p w:rsidR="00DF56C9" w:rsidRPr="004F6F29" w:rsidRDefault="00DF56C9" w:rsidP="00DF56C9">
      <w:pPr>
        <w:pStyle w:val="Identificao"/>
      </w:pPr>
      <w:r w:rsidRPr="004F6F29">
        <w:t>Processo na Origem: 103089220124013304</w:t>
      </w:r>
    </w:p>
    <w:p w:rsidR="00DF56C9" w:rsidRDefault="00DF56C9" w:rsidP="00DF56C9">
      <w:pPr>
        <w:pStyle w:val="Identificao"/>
      </w:pPr>
    </w:p>
    <w:tbl>
      <w:tblPr>
        <w:tblW w:w="9900" w:type="dxa"/>
        <w:tblLayout w:type="fixed"/>
        <w:tblCellMar>
          <w:left w:w="70" w:type="dxa"/>
          <w:right w:w="70" w:type="dxa"/>
        </w:tblCellMar>
        <w:tblLook w:val="0000"/>
      </w:tblPr>
      <w:tblGrid>
        <w:gridCol w:w="2000"/>
        <w:gridCol w:w="300"/>
        <w:gridCol w:w="7600"/>
      </w:tblGrid>
      <w:tr w:rsidR="00DF56C9" w:rsidRPr="00DF56C9" w:rsidTr="00DF56C9">
        <w:tblPrEx>
          <w:tblCellMar>
            <w:top w:w="0" w:type="dxa"/>
            <w:bottom w:w="0" w:type="dxa"/>
          </w:tblCellMar>
        </w:tblPrEx>
        <w:tc>
          <w:tcPr>
            <w:tcW w:w="2000" w:type="dxa"/>
            <w:shd w:val="clear" w:color="auto" w:fill="auto"/>
          </w:tcPr>
          <w:p w:rsidR="00DF56C9" w:rsidRPr="00DF56C9" w:rsidRDefault="00DF56C9" w:rsidP="00DF56C9">
            <w:pPr>
              <w:pStyle w:val="Identificao"/>
            </w:pPr>
            <w:r w:rsidRPr="00DF56C9">
              <w:t>RELATOR(A)</w:t>
            </w:r>
          </w:p>
        </w:tc>
        <w:tc>
          <w:tcPr>
            <w:tcW w:w="300" w:type="dxa"/>
            <w:shd w:val="clear" w:color="auto" w:fill="auto"/>
          </w:tcPr>
          <w:p w:rsidR="00DF56C9" w:rsidRPr="00DF56C9" w:rsidRDefault="00DF56C9" w:rsidP="00DF56C9">
            <w:pPr>
              <w:pStyle w:val="Identificao"/>
            </w:pPr>
            <w:r w:rsidRPr="00DF56C9">
              <w:t>:</w:t>
            </w:r>
          </w:p>
        </w:tc>
        <w:tc>
          <w:tcPr>
            <w:tcW w:w="7600" w:type="dxa"/>
            <w:shd w:val="clear" w:color="auto" w:fill="auto"/>
          </w:tcPr>
          <w:p w:rsidR="00DF56C9" w:rsidRPr="00DF56C9" w:rsidRDefault="00DF56C9" w:rsidP="00DF56C9">
            <w:pPr>
              <w:pStyle w:val="Identificao"/>
            </w:pPr>
            <w:r w:rsidRPr="00DF56C9">
              <w:t>JUIZ FEDERAL CRISTIANO MIRANDA DE SANTANA</w:t>
            </w:r>
          </w:p>
        </w:tc>
      </w:tr>
      <w:tr w:rsidR="00DF56C9" w:rsidRPr="00DF56C9" w:rsidTr="00DF56C9">
        <w:tblPrEx>
          <w:tblCellMar>
            <w:top w:w="0" w:type="dxa"/>
            <w:bottom w:w="0" w:type="dxa"/>
          </w:tblCellMar>
        </w:tblPrEx>
        <w:tc>
          <w:tcPr>
            <w:tcW w:w="2000" w:type="dxa"/>
            <w:shd w:val="clear" w:color="auto" w:fill="auto"/>
          </w:tcPr>
          <w:p w:rsidR="00DF56C9" w:rsidRPr="00DF56C9" w:rsidRDefault="00DF56C9" w:rsidP="00DF56C9">
            <w:pPr>
              <w:pStyle w:val="Identificao"/>
            </w:pPr>
            <w:r w:rsidRPr="00DF56C9">
              <w:t>APELANTE</w:t>
            </w:r>
          </w:p>
        </w:tc>
        <w:tc>
          <w:tcPr>
            <w:tcW w:w="300" w:type="dxa"/>
            <w:shd w:val="clear" w:color="auto" w:fill="auto"/>
          </w:tcPr>
          <w:p w:rsidR="00DF56C9" w:rsidRPr="00DF56C9" w:rsidRDefault="00DF56C9" w:rsidP="00DF56C9">
            <w:pPr>
              <w:pStyle w:val="Identificao"/>
            </w:pPr>
            <w:r w:rsidRPr="00DF56C9">
              <w:t>:</w:t>
            </w:r>
          </w:p>
        </w:tc>
        <w:tc>
          <w:tcPr>
            <w:tcW w:w="7600" w:type="dxa"/>
            <w:shd w:val="clear" w:color="auto" w:fill="auto"/>
          </w:tcPr>
          <w:p w:rsidR="00DF56C9" w:rsidRPr="00DF56C9" w:rsidRDefault="00DF56C9" w:rsidP="00DF56C9">
            <w:pPr>
              <w:pStyle w:val="Identificao"/>
            </w:pPr>
            <w:r w:rsidRPr="00DF56C9">
              <w:t xml:space="preserve">INSTITUTO NACIONAL DO SEGURO SOCIAL - INSS </w:t>
            </w:r>
          </w:p>
        </w:tc>
      </w:tr>
      <w:tr w:rsidR="00DF56C9" w:rsidRPr="00DF56C9" w:rsidTr="00DF56C9">
        <w:tblPrEx>
          <w:tblCellMar>
            <w:top w:w="0" w:type="dxa"/>
            <w:bottom w:w="0" w:type="dxa"/>
          </w:tblCellMar>
        </w:tblPrEx>
        <w:tc>
          <w:tcPr>
            <w:tcW w:w="2000" w:type="dxa"/>
            <w:shd w:val="clear" w:color="auto" w:fill="auto"/>
          </w:tcPr>
          <w:p w:rsidR="00DF56C9" w:rsidRPr="00DF56C9" w:rsidRDefault="00DF56C9" w:rsidP="00DF56C9">
            <w:pPr>
              <w:pStyle w:val="Identificao"/>
            </w:pPr>
            <w:r w:rsidRPr="00DF56C9">
              <w:t>PROCURADOR</w:t>
            </w:r>
          </w:p>
        </w:tc>
        <w:tc>
          <w:tcPr>
            <w:tcW w:w="300" w:type="dxa"/>
            <w:shd w:val="clear" w:color="auto" w:fill="auto"/>
          </w:tcPr>
          <w:p w:rsidR="00DF56C9" w:rsidRPr="00DF56C9" w:rsidRDefault="00DF56C9" w:rsidP="00DF56C9">
            <w:pPr>
              <w:pStyle w:val="Identificao"/>
            </w:pPr>
            <w:r w:rsidRPr="00DF56C9">
              <w:t>:</w:t>
            </w:r>
          </w:p>
        </w:tc>
        <w:tc>
          <w:tcPr>
            <w:tcW w:w="7600" w:type="dxa"/>
            <w:shd w:val="clear" w:color="auto" w:fill="auto"/>
          </w:tcPr>
          <w:p w:rsidR="00DF56C9" w:rsidRPr="00DF56C9" w:rsidRDefault="00DF56C9" w:rsidP="00DF56C9">
            <w:pPr>
              <w:pStyle w:val="Identificao"/>
            </w:pPr>
            <w:r w:rsidRPr="00DF56C9">
              <w:t xml:space="preserve">PROCURADORIA REGIONAL FEDERAL DA 1ª REGIÃO </w:t>
            </w:r>
          </w:p>
        </w:tc>
      </w:tr>
      <w:tr w:rsidR="00DF56C9" w:rsidRPr="00DF56C9" w:rsidTr="00DF56C9">
        <w:tblPrEx>
          <w:tblCellMar>
            <w:top w:w="0" w:type="dxa"/>
            <w:bottom w:w="0" w:type="dxa"/>
          </w:tblCellMar>
        </w:tblPrEx>
        <w:tc>
          <w:tcPr>
            <w:tcW w:w="2000" w:type="dxa"/>
            <w:shd w:val="clear" w:color="auto" w:fill="auto"/>
          </w:tcPr>
          <w:p w:rsidR="00DF56C9" w:rsidRPr="00DF56C9" w:rsidRDefault="00DF56C9" w:rsidP="00DF56C9">
            <w:pPr>
              <w:pStyle w:val="Identificao"/>
            </w:pPr>
            <w:r w:rsidRPr="00DF56C9">
              <w:t>APELADO</w:t>
            </w:r>
          </w:p>
        </w:tc>
        <w:tc>
          <w:tcPr>
            <w:tcW w:w="300" w:type="dxa"/>
            <w:shd w:val="clear" w:color="auto" w:fill="auto"/>
          </w:tcPr>
          <w:p w:rsidR="00DF56C9" w:rsidRPr="00DF56C9" w:rsidRDefault="00DF56C9" w:rsidP="00DF56C9">
            <w:pPr>
              <w:pStyle w:val="Identificao"/>
            </w:pPr>
            <w:r w:rsidRPr="00DF56C9">
              <w:t>:</w:t>
            </w:r>
          </w:p>
        </w:tc>
        <w:tc>
          <w:tcPr>
            <w:tcW w:w="7600" w:type="dxa"/>
            <w:shd w:val="clear" w:color="auto" w:fill="auto"/>
          </w:tcPr>
          <w:p w:rsidR="00DF56C9" w:rsidRPr="00DF56C9" w:rsidRDefault="00DF56C9" w:rsidP="00DF56C9">
            <w:pPr>
              <w:pStyle w:val="Identificao"/>
            </w:pPr>
            <w:r w:rsidRPr="00DF56C9">
              <w:t xml:space="preserve">HUMBERTO DE JESUS QUEIROZ </w:t>
            </w:r>
          </w:p>
        </w:tc>
      </w:tr>
      <w:tr w:rsidR="00DF56C9" w:rsidRPr="00DF56C9" w:rsidTr="00DF56C9">
        <w:tblPrEx>
          <w:tblCellMar>
            <w:top w:w="0" w:type="dxa"/>
            <w:bottom w:w="0" w:type="dxa"/>
          </w:tblCellMar>
        </w:tblPrEx>
        <w:tc>
          <w:tcPr>
            <w:tcW w:w="2000" w:type="dxa"/>
            <w:shd w:val="clear" w:color="auto" w:fill="auto"/>
          </w:tcPr>
          <w:p w:rsidR="00DF56C9" w:rsidRPr="00DF56C9" w:rsidRDefault="00DF56C9" w:rsidP="00DF56C9">
            <w:pPr>
              <w:pStyle w:val="Identificao"/>
            </w:pPr>
            <w:r w:rsidRPr="00DF56C9">
              <w:t>ADVOGADO</w:t>
            </w:r>
          </w:p>
        </w:tc>
        <w:tc>
          <w:tcPr>
            <w:tcW w:w="300" w:type="dxa"/>
            <w:shd w:val="clear" w:color="auto" w:fill="auto"/>
          </w:tcPr>
          <w:p w:rsidR="00DF56C9" w:rsidRPr="00DF56C9" w:rsidRDefault="00DF56C9" w:rsidP="00DF56C9">
            <w:pPr>
              <w:pStyle w:val="Identificao"/>
            </w:pPr>
            <w:r w:rsidRPr="00DF56C9">
              <w:t>:</w:t>
            </w:r>
          </w:p>
        </w:tc>
        <w:tc>
          <w:tcPr>
            <w:tcW w:w="7600" w:type="dxa"/>
            <w:shd w:val="clear" w:color="auto" w:fill="auto"/>
          </w:tcPr>
          <w:p w:rsidR="00DF56C9" w:rsidRPr="00DF56C9" w:rsidRDefault="00DF56C9" w:rsidP="00DF56C9">
            <w:pPr>
              <w:pStyle w:val="Identificao"/>
            </w:pPr>
            <w:r w:rsidRPr="00DF56C9">
              <w:t>BA00016863 - ULYSSES CALDAS PINTO NETO E OUTRO(A)</w:t>
            </w:r>
          </w:p>
        </w:tc>
      </w:tr>
      <w:tr w:rsidR="00DF56C9" w:rsidRPr="00DF56C9" w:rsidTr="00DF56C9">
        <w:tblPrEx>
          <w:tblCellMar>
            <w:top w:w="0" w:type="dxa"/>
            <w:bottom w:w="0" w:type="dxa"/>
          </w:tblCellMar>
        </w:tblPrEx>
        <w:tc>
          <w:tcPr>
            <w:tcW w:w="2000" w:type="dxa"/>
            <w:shd w:val="clear" w:color="auto" w:fill="auto"/>
          </w:tcPr>
          <w:p w:rsidR="00DF56C9" w:rsidRPr="00DF56C9" w:rsidRDefault="00DF56C9" w:rsidP="00DF56C9">
            <w:pPr>
              <w:pStyle w:val="Identificao"/>
            </w:pPr>
            <w:r w:rsidRPr="00DF56C9">
              <w:t>REMETENTE</w:t>
            </w:r>
          </w:p>
        </w:tc>
        <w:tc>
          <w:tcPr>
            <w:tcW w:w="300" w:type="dxa"/>
            <w:shd w:val="clear" w:color="auto" w:fill="auto"/>
          </w:tcPr>
          <w:p w:rsidR="00DF56C9" w:rsidRPr="00DF56C9" w:rsidRDefault="00DF56C9" w:rsidP="00DF56C9">
            <w:pPr>
              <w:pStyle w:val="Identificao"/>
            </w:pPr>
            <w:r w:rsidRPr="00DF56C9">
              <w:t>:</w:t>
            </w:r>
          </w:p>
        </w:tc>
        <w:tc>
          <w:tcPr>
            <w:tcW w:w="7600" w:type="dxa"/>
            <w:shd w:val="clear" w:color="auto" w:fill="auto"/>
          </w:tcPr>
          <w:p w:rsidR="00DF56C9" w:rsidRPr="00DF56C9" w:rsidRDefault="00DF56C9" w:rsidP="00DF56C9">
            <w:pPr>
              <w:pStyle w:val="Identificao"/>
            </w:pPr>
            <w:r w:rsidRPr="00DF56C9">
              <w:t xml:space="preserve">JUIZO FEDERAL DA 3A VARA DA SUBSECAO JUDICIARIA DE FEIRA DE SANTANA - BA </w:t>
            </w:r>
          </w:p>
        </w:tc>
      </w:tr>
    </w:tbl>
    <w:p w:rsidR="00DF56C9" w:rsidRDefault="00DF56C9" w:rsidP="00DF56C9">
      <w:pPr>
        <w:pStyle w:val="Identificao"/>
      </w:pPr>
    </w:p>
    <w:p w:rsidR="00DF56C9" w:rsidRPr="00DF56C9" w:rsidRDefault="00DF56C9" w:rsidP="00DF56C9">
      <w:pPr>
        <w:jc w:val="center"/>
        <w:rPr>
          <w:rFonts w:ascii="Arial" w:eastAsia="Times New Roman" w:hAnsi="Arial" w:cs="Arial"/>
          <w:u w:val="single"/>
          <w:lang w:eastAsia="pt-BR"/>
        </w:rPr>
      </w:pPr>
      <w:r w:rsidRPr="00DF56C9">
        <w:rPr>
          <w:rFonts w:ascii="Arial" w:eastAsia="Times New Roman" w:hAnsi="Arial" w:cs="Arial"/>
          <w:u w:val="single"/>
          <w:lang w:eastAsia="pt-BR"/>
        </w:rPr>
        <w:t>EMENTA</w:t>
      </w:r>
    </w:p>
    <w:p w:rsidR="00DF56C9" w:rsidRPr="00DF56C9" w:rsidRDefault="00DF56C9" w:rsidP="00DF56C9">
      <w:pPr>
        <w:jc w:val="both"/>
        <w:rPr>
          <w:rFonts w:ascii="Arial" w:hAnsi="Arial" w:cs="Arial"/>
          <w:shd w:val="clear" w:color="auto" w:fill="FFFFFF"/>
        </w:rPr>
      </w:pPr>
    </w:p>
    <w:p w:rsidR="00DF56C9" w:rsidRPr="00DF56C9" w:rsidRDefault="00DF56C9" w:rsidP="00DF56C9">
      <w:pPr>
        <w:jc w:val="both"/>
        <w:rPr>
          <w:rFonts w:ascii="Arial" w:hAnsi="Arial" w:cs="Arial"/>
          <w:shd w:val="clear" w:color="auto" w:fill="FFFFFF"/>
        </w:rPr>
      </w:pPr>
      <w:r w:rsidRPr="00DF56C9">
        <w:rPr>
          <w:rFonts w:ascii="Arial" w:hAnsi="Arial" w:cs="Arial"/>
          <w:shd w:val="clear" w:color="auto" w:fill="FFFFFF"/>
        </w:rPr>
        <w:t>PREVIDENCIÁRIO. ATIVIDADES ESPECIAIS. RUÍDO. PERFIL PROFISSIOGRÁFICO. VALIDADE PARA COMPROVAÇÃO DO AGENTE. DIB. CORREÇÃO MONETÁRIA. OBSERVÂNCIA DO ENTENDIMENTO FIRMADO PELO STF EM REPERCUSSÃO GERAL. SENTENÇA PARCIALMENTE REFORMADA.</w:t>
      </w:r>
    </w:p>
    <w:p w:rsidR="00DF56C9" w:rsidRPr="00DF56C9" w:rsidRDefault="00DF56C9" w:rsidP="00DF56C9">
      <w:pPr>
        <w:jc w:val="both"/>
        <w:rPr>
          <w:rFonts w:ascii="Arial" w:hAnsi="Arial" w:cs="Arial"/>
          <w:shd w:val="clear" w:color="auto" w:fill="FFFFFF"/>
        </w:rPr>
      </w:pPr>
      <w:r w:rsidRPr="00DF56C9">
        <w:rPr>
          <w:rFonts w:ascii="Arial" w:hAnsi="Arial" w:cs="Arial"/>
          <w:shd w:val="clear" w:color="auto" w:fill="FFFFFF"/>
        </w:rPr>
        <w:t>1. Interpretando a Lei de Benefícios em conjunto com a legislação administrativa, conclui-se que a comprovação da efetiva exposição do Segurado aos agentes nocivos é feita mediante o formulário denominado Perfil Profissiográfico Previdenciário, emitido pela empresa ou seu preposto, com base em laudo técnico de condições ambientais do trabalho, expedido por Médico do Trabalho ou Engenheiro de Segurança do Trabalho. O laudo técnico será necessário apenas nas hipóteses em que há discordância do Segurado quanto às informações lançadas pela empresa no PPP ou nas hipóteses em que a Autarquia contestar a validade do PPP, o que não é o caso dos autos, uma vez que não foi suscitada qualquer objeção ao documento. Neste sentido; AgInt no REsp 1553118/RS, Rel. Ministro NAPOLEÃO NUNES MAIA FILHO, PRIMEIRA TURMA, julgado em 04/04/2017, DJe 17/04/2017).</w:t>
      </w:r>
    </w:p>
    <w:p w:rsidR="00DF56C9" w:rsidRPr="00DF56C9" w:rsidRDefault="00DF56C9" w:rsidP="00DF56C9">
      <w:pPr>
        <w:jc w:val="both"/>
        <w:rPr>
          <w:rFonts w:ascii="Arial" w:hAnsi="Arial" w:cs="Arial"/>
          <w:shd w:val="clear" w:color="auto" w:fill="FFFFFF"/>
        </w:rPr>
      </w:pPr>
      <w:r w:rsidRPr="00DF56C9">
        <w:rPr>
          <w:rFonts w:ascii="Arial" w:hAnsi="Arial" w:cs="Arial"/>
          <w:shd w:val="clear" w:color="auto" w:fill="FFFFFF"/>
        </w:rPr>
        <w:t xml:space="preserve">2. Quanto ao agente ruído, considera-se especial a atividade exercida com exposição superior a 80 decibéis até 05/03/97, superior a 90 decibéis desta data até 18/11/2003, e superior a 85 decibéis a partir de então, nos termos da súmula nº. 29 da AGU, que se coaduna à jurisprudência pacificada sobre o tema. </w:t>
      </w:r>
    </w:p>
    <w:p w:rsidR="00DF56C9" w:rsidRPr="00DF56C9" w:rsidRDefault="00DF56C9" w:rsidP="00DF56C9">
      <w:pPr>
        <w:jc w:val="both"/>
        <w:rPr>
          <w:rFonts w:ascii="Arial" w:hAnsi="Arial" w:cs="Arial"/>
          <w:shd w:val="clear" w:color="auto" w:fill="FFFFFF"/>
        </w:rPr>
      </w:pPr>
      <w:r w:rsidRPr="00DF56C9">
        <w:rPr>
          <w:rFonts w:ascii="Arial" w:hAnsi="Arial" w:cs="Arial"/>
          <w:shd w:val="clear" w:color="auto" w:fill="FFFFFF"/>
        </w:rPr>
        <w:t>3. O fornecimento de equipamentos de proteção individual, por si, não elide a insalubridade da atividade exercida, quando não haja a demonstração, estreme de dúvidas, da neutralização do agente agressivo.   E, para isso, não é o bastante a mera afirmação monossilábica da eficácia do equipamento, desacompanhada de estudos demonstrando o efetivo bloqueio do agente agressivo no ambiente laboral.</w:t>
      </w:r>
    </w:p>
    <w:p w:rsidR="00DF56C9" w:rsidRPr="00DF56C9" w:rsidRDefault="00DF56C9" w:rsidP="00DF56C9">
      <w:pPr>
        <w:jc w:val="both"/>
        <w:rPr>
          <w:rFonts w:ascii="Arial" w:hAnsi="Arial" w:cs="Arial"/>
          <w:shd w:val="clear" w:color="auto" w:fill="FFFFFF"/>
        </w:rPr>
      </w:pPr>
      <w:r w:rsidRPr="00DF56C9">
        <w:rPr>
          <w:rFonts w:ascii="Arial" w:hAnsi="Arial" w:cs="Arial"/>
          <w:shd w:val="clear" w:color="auto" w:fill="FFFFFF"/>
          <w:lang w:eastAsia="pt-BR"/>
        </w:rPr>
        <w:t>4.</w:t>
      </w:r>
      <w:r w:rsidRPr="00DF56C9">
        <w:rPr>
          <w:rFonts w:ascii="Arial" w:hAnsi="Arial" w:cs="Arial"/>
          <w:shd w:val="clear" w:color="auto" w:fill="FFFFFF"/>
        </w:rPr>
        <w:t xml:space="preserve"> Desse modo, deve ser mantido o reconhecimento da especialidade do período de labor da parte autora, compreendido entre 01/09/1988 a 31/03/2010, pois, neste intervalo, esteve exposta a ruído em intensidade que suplantava o limite tolerável, conforme PPP de fls. 43/44.</w:t>
      </w:r>
    </w:p>
    <w:p w:rsidR="00DF56C9" w:rsidRPr="00DF56C9" w:rsidRDefault="00DF56C9" w:rsidP="00DF56C9">
      <w:pPr>
        <w:jc w:val="both"/>
        <w:rPr>
          <w:rFonts w:ascii="Arial" w:hAnsi="Arial" w:cs="Arial"/>
          <w:shd w:val="clear" w:color="auto" w:fill="FFFFFF"/>
        </w:rPr>
      </w:pPr>
      <w:r w:rsidRPr="00DF56C9">
        <w:rPr>
          <w:rFonts w:ascii="Arial" w:hAnsi="Arial" w:cs="Arial"/>
          <w:shd w:val="clear" w:color="auto" w:fill="FFFFFF"/>
        </w:rPr>
        <w:t xml:space="preserve">5. Direito da parte autora à aposentadoria por tempo de contribuição integral, a partir da citação, quando constituído em mora o demandado. Recorde-se que o termo inicial para a concessão de benefício previdenciário é a data do requerimento administrativo e, na sua ausência (como na hipótese), a citação válida. Neste sentido: AgInt no REsp 1601268/SP,Rel. Ministro SÉRGIO KUKINA, PRIMEIRA TURMA,Julgado em 23/06/2016,DJE 30/06/2016; AgRg no REsp 1573602/SP,Rel. Ministro HERMAN BENJAMIN, SEGUNDA TURMA,Julgado em 26/04/2016,DJE 27/05/2016;  AgRg no AREsp 823800/SP,Rel. Ministro MAURO CAMPBELL MARQUES, SEGUNDA TURMA,Julgado em 01/03/2016,DJE 08/03/2016;  AgRg no REsp 1576098/DF,Rel. Ministro HUMBERTO MARTINS, SEGUNDA TURMA,Julgado em 01/03/2016,DJE 08/03/2016; </w:t>
      </w:r>
      <w:r w:rsidRPr="00DF56C9">
        <w:rPr>
          <w:rFonts w:ascii="Arial" w:hAnsi="Arial" w:cs="Arial"/>
          <w:shd w:val="clear" w:color="auto" w:fill="FFFFFF"/>
        </w:rPr>
        <w:lastRenderedPageBreak/>
        <w:t>AgRg no Ag 1100869/SP,Rel. Ministro JORGE MUSSI, QUINTA TURMA, Julgado em 18/09/2014,DJE 25/09/2014;  EDcl no REsp 1369165/SP,Rel. Ministro BENEDITO GONÇALVES, PRIMEIRA SEÇÃO,Julgado em 28/05/2014,DJE 02/06/2014. A despeito da inexistência do requerimento administrativo, o INSS contestou o mérito, configurando o interesse processual.</w:t>
      </w:r>
    </w:p>
    <w:p w:rsidR="00DF56C9" w:rsidRPr="00DF56C9" w:rsidRDefault="00DF56C9" w:rsidP="00DF56C9">
      <w:pPr>
        <w:jc w:val="both"/>
        <w:rPr>
          <w:rFonts w:ascii="Arial" w:hAnsi="Arial" w:cs="Arial"/>
          <w:shd w:val="clear" w:color="auto" w:fill="FFFFFF"/>
        </w:rPr>
      </w:pPr>
      <w:r w:rsidRPr="00DF56C9">
        <w:rPr>
          <w:rFonts w:ascii="Arial" w:hAnsi="Arial" w:cs="Arial"/>
          <w:shd w:val="clear" w:color="auto" w:fill="FFFFFF"/>
        </w:rPr>
        <w:t>6.</w:t>
      </w:r>
      <w:r w:rsidRPr="00DF56C9">
        <w:rPr>
          <w:rFonts w:ascii="Arial" w:eastAsia="Times New Roman" w:hAnsi="Arial" w:cs="Arial"/>
          <w:lang w:eastAsia="pt-BR"/>
        </w:rPr>
        <w:t xml:space="preserve"> </w:t>
      </w:r>
      <w:r w:rsidRPr="00DF56C9">
        <w:rPr>
          <w:rFonts w:ascii="Arial" w:hAnsi="Arial" w:cs="Arial"/>
          <w:shd w:val="clear" w:color="auto" w:fill="FFFFFF"/>
        </w:rPr>
        <w:t>Juros de mora, a partir da citação, nos termos da Lei nº 11.960/09. Quanto à correção monetária, deve ser observada a tese fixada pelo STF no RE nº 870947, sujeito ao regime de repercussão geral: “O artigo 1º-F da Lei 9.494/1997, com a redação dada pela Lei 11.960/2009, na parte em que disciplina a atualização monetária das condenações impostas à Fazenda Pública segundo a remuneração oficial da caderneta de poupança, revela-se inconstitucional ao impor restrição desproporcional ao direito de propriedade (CRFB, art. 5º, XXII), uma vez que não se qualifica como medida adequada a capturar a variação de preços da economia, sendo inidônea a promover os fins a que se destina.” Utilização do IPCA-E como índice de atualização monetária, a partir da vigência da Lei nº 11.960/09, tal como estabelecido no referido precedente da Suprema Corte. No período que antecede à vigência do citado diploma legal, a correção monetária se fará nos termos do Manual de Cálculos da Justiça Federal. Por sinal, a matéria relativa a juros e correção monetária é de ordem pública e cognoscível, portanto, de ofício, razão por que se afasta a tese de reformatio in pejus nesses casos (RESP 201700158919, Relator (a) HERMAN BENJAMIN, STJ, SEGUNDA TURMA, DJE 24/04/2017).</w:t>
      </w:r>
    </w:p>
    <w:p w:rsidR="00DF56C9" w:rsidRPr="00DF56C9" w:rsidRDefault="00DF56C9" w:rsidP="00DF56C9">
      <w:pPr>
        <w:jc w:val="both"/>
        <w:rPr>
          <w:rFonts w:ascii="Arial" w:hAnsi="Arial" w:cs="Arial"/>
          <w:shd w:val="clear" w:color="auto" w:fill="FFFFFF"/>
        </w:rPr>
      </w:pPr>
      <w:r w:rsidRPr="00DF56C9">
        <w:rPr>
          <w:rFonts w:ascii="Arial" w:hAnsi="Arial" w:cs="Arial"/>
          <w:shd w:val="clear" w:color="auto" w:fill="FFFFFF"/>
        </w:rPr>
        <w:t>7. Os honorários, arbitrados em 10% das prestações vencidas até a data da sentença, proferida sob a égide do CPC/1973, harmonizam-se com os precedentes deste Colegiado e com a Súmula nº 111 do STJ.</w:t>
      </w:r>
    </w:p>
    <w:p w:rsidR="00DF56C9" w:rsidRPr="00DF56C9" w:rsidRDefault="00DF56C9" w:rsidP="00DF56C9">
      <w:pPr>
        <w:jc w:val="both"/>
        <w:rPr>
          <w:rFonts w:ascii="Arial" w:eastAsia="Times New Roman" w:hAnsi="Arial" w:cs="Arial"/>
          <w:lang w:eastAsia="pt-BR"/>
        </w:rPr>
      </w:pPr>
      <w:r w:rsidRPr="00DF56C9">
        <w:rPr>
          <w:rFonts w:ascii="Arial" w:hAnsi="Arial" w:cs="Arial"/>
          <w:shd w:val="clear" w:color="auto" w:fill="FFFFFF"/>
        </w:rPr>
        <w:t>8. Apelação desprovida. Remessa oficial parcialmente provida para modificar a data de início do benefício, ora fixada na citação. Correção monetária ajustada, de ofício, ao entendimento sufragado pelo STF no RE nº 870947. Tutela provisória ratificada.</w:t>
      </w:r>
    </w:p>
    <w:p w:rsidR="00DF56C9" w:rsidRPr="00DF56C9" w:rsidRDefault="00DF56C9" w:rsidP="00DF56C9">
      <w:pPr>
        <w:jc w:val="center"/>
        <w:rPr>
          <w:rFonts w:ascii="Arial" w:eastAsia="Times New Roman" w:hAnsi="Arial" w:cs="Arial"/>
          <w:lang w:eastAsia="pt-BR"/>
        </w:rPr>
      </w:pPr>
    </w:p>
    <w:p w:rsidR="00DF56C9" w:rsidRPr="00DF56C9" w:rsidRDefault="00DF56C9" w:rsidP="00DF56C9">
      <w:pPr>
        <w:jc w:val="center"/>
        <w:rPr>
          <w:rFonts w:ascii="Arial" w:eastAsia="Times New Roman" w:hAnsi="Arial" w:cs="Arial"/>
          <w:lang w:eastAsia="pt-BR"/>
        </w:rPr>
      </w:pPr>
      <w:r w:rsidRPr="00DF56C9">
        <w:rPr>
          <w:rFonts w:ascii="Arial" w:eastAsia="Times New Roman" w:hAnsi="Arial" w:cs="Arial"/>
          <w:lang w:eastAsia="pt-BR"/>
        </w:rPr>
        <w:t>ACÓRDÃO</w:t>
      </w:r>
    </w:p>
    <w:p w:rsidR="00DF56C9" w:rsidRPr="00DF56C9" w:rsidRDefault="00DF56C9" w:rsidP="00DF56C9">
      <w:pPr>
        <w:ind w:firstLine="1418"/>
        <w:jc w:val="both"/>
        <w:rPr>
          <w:rFonts w:ascii="Arial" w:eastAsia="Times New Roman" w:hAnsi="Arial" w:cs="Arial"/>
          <w:lang w:eastAsia="pt-BR"/>
        </w:rPr>
      </w:pPr>
    </w:p>
    <w:p w:rsidR="00DF56C9" w:rsidRPr="00DF56C9" w:rsidRDefault="00DF56C9" w:rsidP="00DF56C9">
      <w:pPr>
        <w:ind w:firstLine="1418"/>
        <w:jc w:val="both"/>
        <w:rPr>
          <w:rFonts w:ascii="Arial" w:eastAsia="Times New Roman" w:hAnsi="Arial" w:cs="Arial"/>
          <w:lang w:eastAsia="pt-BR"/>
        </w:rPr>
      </w:pPr>
      <w:r w:rsidRPr="00DF56C9">
        <w:rPr>
          <w:rFonts w:ascii="Arial" w:eastAsia="Times New Roman" w:hAnsi="Arial" w:cs="Arial"/>
          <w:lang w:eastAsia="pt-BR"/>
        </w:rPr>
        <w:t>Decide a Câmara Regional Previdenciária da Bahia, por unanimidade, negar provimento à apelação, dar parcial provimento à remessa oficial e ajustar, de ofício, a correção monetária.</w:t>
      </w:r>
    </w:p>
    <w:p w:rsidR="00DF56C9" w:rsidRPr="00DF56C9" w:rsidRDefault="00DF56C9" w:rsidP="00DF56C9">
      <w:pPr>
        <w:ind w:firstLine="1418"/>
        <w:jc w:val="both"/>
        <w:rPr>
          <w:rFonts w:ascii="Arial" w:eastAsia="Times New Roman" w:hAnsi="Arial" w:cs="Arial"/>
          <w:lang w:eastAsia="pt-BR"/>
        </w:rPr>
      </w:pPr>
      <w:r w:rsidRPr="00DF56C9">
        <w:rPr>
          <w:rFonts w:ascii="Arial" w:eastAsia="Times New Roman" w:hAnsi="Arial" w:cs="Arial"/>
          <w:lang w:eastAsia="pt-BR"/>
        </w:rPr>
        <w:t>Salvador/BA, 23 de março de 2018.</w:t>
      </w:r>
    </w:p>
    <w:p w:rsidR="00DF56C9" w:rsidRPr="00DF56C9" w:rsidRDefault="00DF56C9" w:rsidP="00DF56C9">
      <w:pPr>
        <w:ind w:firstLine="1418"/>
        <w:jc w:val="both"/>
        <w:rPr>
          <w:rFonts w:ascii="Arial" w:eastAsia="Times New Roman" w:hAnsi="Arial" w:cs="Arial"/>
          <w:lang w:eastAsia="pt-BR"/>
        </w:rPr>
      </w:pPr>
    </w:p>
    <w:p w:rsidR="00DF56C9" w:rsidRPr="00DF56C9" w:rsidRDefault="00DF56C9" w:rsidP="00DF56C9">
      <w:pPr>
        <w:ind w:firstLine="1418"/>
        <w:jc w:val="both"/>
        <w:rPr>
          <w:rFonts w:ascii="Arial" w:eastAsia="Times New Roman" w:hAnsi="Arial" w:cs="Arial"/>
          <w:lang w:eastAsia="pt-BR"/>
        </w:rPr>
      </w:pPr>
    </w:p>
    <w:p w:rsidR="00DF56C9" w:rsidRPr="00DF56C9" w:rsidRDefault="00DF56C9" w:rsidP="00DF56C9">
      <w:pPr>
        <w:jc w:val="center"/>
        <w:rPr>
          <w:rFonts w:ascii="Arial" w:eastAsia="Times New Roman" w:hAnsi="Arial" w:cs="Arial"/>
          <w:lang w:eastAsia="pt-BR"/>
        </w:rPr>
      </w:pPr>
      <w:r w:rsidRPr="00DF56C9">
        <w:rPr>
          <w:rFonts w:ascii="Arial" w:eastAsia="Times New Roman" w:hAnsi="Arial" w:cs="Arial"/>
          <w:lang w:eastAsia="pt-BR"/>
        </w:rPr>
        <w:t>Juiz Federal CRISTIANO MIRANDA DE SANTANA</w:t>
      </w:r>
    </w:p>
    <w:p w:rsidR="0015179D" w:rsidRPr="00DF56C9" w:rsidRDefault="00DF56C9" w:rsidP="00DF56C9">
      <w:pPr>
        <w:pStyle w:val="Identificao"/>
        <w:jc w:val="center"/>
      </w:pPr>
      <w:r w:rsidRPr="00DF56C9">
        <w:rPr>
          <w:rFonts w:cs="Arial"/>
        </w:rPr>
        <w:t>RELATOR</w:t>
      </w:r>
    </w:p>
    <w:sectPr w:rsidR="0015179D" w:rsidRPr="00DF56C9"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16F" w:rsidRDefault="00FC616F">
      <w:r>
        <w:separator/>
      </w:r>
    </w:p>
  </w:endnote>
  <w:endnote w:type="continuationSeparator" w:id="0">
    <w:p w:rsidR="00FC616F" w:rsidRDefault="00FC61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A00002EF" w:usb1="4000204B" w:usb2="00000000" w:usb3="00000000" w:csb0="0000009F"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Pr>
        <w:rFonts w:ascii="Arial" w:hAnsi="Arial"/>
        <w:sz w:val="10"/>
      </w:rPr>
      <w:fldChar w:fldCharType="begin"/>
    </w:r>
    <w:r>
      <w:rPr>
        <w:rFonts w:ascii="Arial" w:hAnsi="Arial"/>
        <w:sz w:val="10"/>
      </w:rPr>
      <w:instrText xml:space="preserve"> FILENAME \p </w:instrText>
    </w:r>
    <w:r>
      <w:rPr>
        <w:rFonts w:ascii="Arial" w:hAnsi="Arial"/>
        <w:sz w:val="10"/>
      </w:rPr>
      <w:fldChar w:fldCharType="separate"/>
    </w:r>
    <w:r w:rsidR="00DF56C9">
      <w:rPr>
        <w:rFonts w:ascii="Arial" w:hAnsi="Arial"/>
        <w:noProof/>
        <w:sz w:val="10"/>
      </w:rPr>
      <w:t>Documento1</w:t>
    </w:r>
    <w:r>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Pr>
        <w:rFonts w:ascii="Arial" w:hAnsi="Arial"/>
        <w:sz w:val="13"/>
      </w:rPr>
      <w:fldChar w:fldCharType="begin"/>
    </w:r>
    <w:r>
      <w:rPr>
        <w:rFonts w:ascii="Arial" w:hAnsi="Arial"/>
        <w:sz w:val="13"/>
      </w:rPr>
      <w:instrText xml:space="preserve"> FILENAME \p </w:instrText>
    </w:r>
    <w:r>
      <w:rPr>
        <w:rFonts w:ascii="Arial" w:hAnsi="Arial"/>
        <w:sz w:val="13"/>
      </w:rPr>
      <w:fldChar w:fldCharType="separate"/>
    </w:r>
    <w:r w:rsidR="00DF56C9">
      <w:rPr>
        <w:rFonts w:ascii="Arial" w:hAnsi="Arial"/>
        <w:noProof/>
        <w:sz w:val="13"/>
      </w:rPr>
      <w:t>Documento1</w:t>
    </w:r>
    <w:r>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Pr>
        <w:rFonts w:ascii="Arial" w:hAnsi="Arial"/>
        <w:sz w:val="13"/>
      </w:rPr>
      <w:fldChar w:fldCharType="begin"/>
    </w:r>
    <w:r>
      <w:rPr>
        <w:rFonts w:ascii="Arial" w:hAnsi="Arial"/>
        <w:sz w:val="13"/>
      </w:rPr>
      <w:instrText xml:space="preserve"> AUTHOR </w:instrText>
    </w:r>
    <w:r>
      <w:rPr>
        <w:rFonts w:ascii="Arial" w:hAnsi="Arial"/>
        <w:sz w:val="13"/>
      </w:rPr>
      <w:fldChar w:fldCharType="separate"/>
    </w:r>
    <w:r w:rsidR="00DF56C9">
      <w:rPr>
        <w:rFonts w:ascii="Arial" w:hAnsi="Arial"/>
        <w:noProof/>
        <w:sz w:val="13"/>
      </w:rPr>
      <w:t>TR300321</w:t>
    </w:r>
    <w:r>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16F" w:rsidRDefault="00FC616F">
      <w:r>
        <w:separator/>
      </w:r>
    </w:p>
  </w:footnote>
  <w:footnote w:type="continuationSeparator" w:id="0">
    <w:p w:rsidR="00FC616F" w:rsidRDefault="00FC61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Pr>
        <w:rFonts w:ascii="Arial" w:hAnsi="Arial" w:cs="Arial"/>
        <w:bCs/>
        <w:sz w:val="16"/>
      </w:rPr>
      <w:fldChar w:fldCharType="begin"/>
    </w:r>
    <w:r>
      <w:rPr>
        <w:rFonts w:ascii="Arial" w:hAnsi="Arial" w:cs="Arial"/>
        <w:bCs/>
        <w:sz w:val="16"/>
      </w:rPr>
      <w:instrText xml:space="preserve"> PAGE </w:instrText>
    </w:r>
    <w:r>
      <w:rPr>
        <w:rFonts w:ascii="Arial" w:hAnsi="Arial" w:cs="Arial"/>
        <w:bCs/>
        <w:sz w:val="16"/>
      </w:rPr>
      <w:fldChar w:fldCharType="separate"/>
    </w:r>
    <w:r w:rsidR="00DF56C9">
      <w:rPr>
        <w:rFonts w:ascii="Arial" w:hAnsi="Arial" w:cs="Arial"/>
        <w:bCs/>
        <w:noProof/>
        <w:sz w:val="16"/>
      </w:rPr>
      <w:t>2</w:t>
    </w:r>
    <w:r>
      <w:rPr>
        <w:rFonts w:ascii="Arial" w:hAnsi="Arial" w:cs="Arial"/>
        <w:bCs/>
        <w:sz w:val="16"/>
      </w:rPr>
      <w:fldChar w:fldCharType="end"/>
    </w:r>
    <w:r>
      <w:rPr>
        <w:rFonts w:ascii="Arial" w:hAnsi="Arial" w:cs="Arial"/>
        <w:bCs/>
        <w:sz w:val="16"/>
      </w:rPr>
      <w:t>/</w:t>
    </w:r>
    <w:r>
      <w:rPr>
        <w:rFonts w:ascii="Arial" w:hAnsi="Arial" w:cs="Arial"/>
        <w:bCs/>
        <w:sz w:val="16"/>
      </w:rPr>
      <w:fldChar w:fldCharType="begin"/>
    </w:r>
    <w:r>
      <w:rPr>
        <w:rFonts w:ascii="Arial" w:hAnsi="Arial" w:cs="Arial"/>
        <w:bCs/>
        <w:sz w:val="16"/>
      </w:rPr>
      <w:instrText xml:space="preserve"> NUMPAGES </w:instrText>
    </w:r>
    <w:r>
      <w:rPr>
        <w:rFonts w:ascii="Arial" w:hAnsi="Arial" w:cs="Arial"/>
        <w:bCs/>
        <w:sz w:val="16"/>
      </w:rPr>
      <w:fldChar w:fldCharType="separate"/>
    </w:r>
    <w:r w:rsidR="00DF56C9">
      <w:rPr>
        <w:rFonts w:ascii="Arial" w:hAnsi="Arial" w:cs="Arial"/>
        <w:bCs/>
        <w:noProof/>
        <w:sz w:val="16"/>
      </w:rPr>
      <w:t>2</w:t>
    </w:r>
    <w:r>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6C9" w:rsidRPr="00DF56C9" w:rsidRDefault="00DF56C9" w:rsidP="00DF56C9">
    <w:pPr>
      <w:jc w:val="right"/>
      <w:rPr>
        <w:rFonts w:ascii="Interleaved 2of5" w:hAnsi="Interleaved 2of5"/>
        <w:sz w:val="48"/>
      </w:rPr>
    </w:pPr>
    <w:r w:rsidRPr="00DF56C9">
      <w:rPr>
        <w:rFonts w:ascii="Interleaved 2of5" w:hAnsi="Interleaved 2of5"/>
        <w:sz w:val="48"/>
      </w:rPr>
      <w:t>(:NçF1H1Q4)</w:t>
    </w:r>
  </w:p>
  <w:p w:rsidR="00DF56C9" w:rsidRDefault="00DF56C9" w:rsidP="00DF56C9">
    <w:pPr>
      <w:spacing w:before="120"/>
      <w:rPr>
        <w:rFonts w:ascii="Arial" w:hAnsi="Arial"/>
        <w:sz w:val="16"/>
      </w:rPr>
    </w:pPr>
  </w:p>
  <w:p w:rsidR="004554A7" w:rsidRDefault="00DF56C9" w:rsidP="004554A7">
    <w:pPr>
      <w:spacing w:before="120"/>
      <w:jc w:val="center"/>
      <w:rPr>
        <w:rFonts w:ascii="Arial" w:hAnsi="Arial"/>
        <w:sz w:val="16"/>
      </w:rPr>
    </w:pPr>
    <w:r>
      <w:rPr>
        <w:rFonts w:ascii="Arial" w:hAnsi="Arial"/>
        <w:noProof/>
        <w:sz w:val="16"/>
        <w:lang w:eastAsia="pt-BR"/>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FC616F"/>
    <w:rsid w:val="0015179D"/>
    <w:rsid w:val="00191A8C"/>
    <w:rsid w:val="002331F7"/>
    <w:rsid w:val="00413610"/>
    <w:rsid w:val="004269A8"/>
    <w:rsid w:val="004554A7"/>
    <w:rsid w:val="00462716"/>
    <w:rsid w:val="00471CDF"/>
    <w:rsid w:val="004C17AC"/>
    <w:rsid w:val="005E20DB"/>
    <w:rsid w:val="006779DE"/>
    <w:rsid w:val="006A4ECE"/>
    <w:rsid w:val="007A7066"/>
    <w:rsid w:val="007C3424"/>
    <w:rsid w:val="008713AE"/>
    <w:rsid w:val="00872397"/>
    <w:rsid w:val="008A3D69"/>
    <w:rsid w:val="008C4395"/>
    <w:rsid w:val="0099169E"/>
    <w:rsid w:val="00C5492A"/>
    <w:rsid w:val="00D221D6"/>
    <w:rsid w:val="00DD0AC9"/>
    <w:rsid w:val="00DF56C9"/>
    <w:rsid w:val="00E850E4"/>
    <w:rsid w:val="00EE6447"/>
    <w:rsid w:val="00FC616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56C9"/>
    <w:rPr>
      <w:rFonts w:ascii="Calibri" w:eastAsia="Calibri" w:hAnsi="Calibri"/>
      <w:sz w:val="22"/>
      <w:szCs w:val="22"/>
      <w:lang w:eastAsia="en-US"/>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customStyle="1" w:styleId="Identificao">
    <w:name w:val="Identificação"/>
    <w:basedOn w:val="ementa"/>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pPr>
      <w:spacing w:before="120" w:after="120"/>
      <w:ind w:firstLine="1418"/>
      <w:jc w:val="both"/>
    </w:pPr>
    <w:rPr>
      <w:rFonts w:ascii="Arial" w:eastAsia="Times New Roman" w:hAnsi="Arial"/>
      <w:szCs w:val="24"/>
      <w:lang w:eastAsia="pt-BR"/>
    </w:rPr>
  </w:style>
  <w:style w:type="paragraph" w:customStyle="1" w:styleId="centralizar">
    <w:name w:val="centralizar"/>
    <w:basedOn w:val="Pargrafo"/>
    <w:next w:val="Pargrafo"/>
    <w:pPr>
      <w:spacing w:before="360" w:after="360"/>
      <w:ind w:firstLine="0"/>
      <w:jc w:val="center"/>
    </w:pPr>
    <w:rPr>
      <w:b/>
    </w:rPr>
  </w:style>
  <w:style w:type="paragraph" w:customStyle="1" w:styleId="Transcrio">
    <w:name w:val="Transcrição"/>
    <w:basedOn w:val="Pargrafo"/>
    <w:pPr>
      <w:spacing w:before="60" w:after="60"/>
      <w:ind w:left="2268" w:firstLine="0"/>
    </w:pPr>
    <w:rPr>
      <w:i/>
    </w:rPr>
  </w:style>
  <w:style w:type="paragraph" w:styleId="Cabealho">
    <w:name w:val="header"/>
    <w:basedOn w:val="Normal"/>
    <w:rsid w:val="002331F7"/>
    <w:pPr>
      <w:tabs>
        <w:tab w:val="center" w:pos="4252"/>
        <w:tab w:val="right" w:pos="8504"/>
      </w:tabs>
    </w:pPr>
    <w:rPr>
      <w:rFonts w:ascii="Times New Roman" w:eastAsia="Times New Roman" w:hAnsi="Times New Roman"/>
      <w:sz w:val="24"/>
      <w:szCs w:val="24"/>
      <w:lang w:eastAsia="pt-BR"/>
    </w:rPr>
  </w:style>
  <w:style w:type="paragraph" w:customStyle="1" w:styleId="transcrio2">
    <w:name w:val="transcrição 2"/>
    <w:basedOn w:val="Transcrio"/>
    <w:pPr>
      <w:ind w:left="2835"/>
    </w:pPr>
  </w:style>
  <w:style w:type="paragraph" w:customStyle="1" w:styleId="transcrio3">
    <w:name w:val="transcrição 3"/>
    <w:basedOn w:val="Identificao"/>
    <w:pPr>
      <w:ind w:left="3686"/>
    </w:pPr>
    <w:rPr>
      <w:i/>
      <w:iCs/>
    </w:rPr>
  </w:style>
  <w:style w:type="paragraph" w:customStyle="1" w:styleId="transcrio4">
    <w:name w:val="transcrição 4"/>
    <w:basedOn w:val="transcrio3"/>
    <w:pPr>
      <w:ind w:left="4536"/>
    </w:pPr>
  </w:style>
  <w:style w:type="paragraph" w:customStyle="1" w:styleId="assinatura">
    <w:name w:val="assinatura"/>
    <w:basedOn w:val="Pargrafo"/>
    <w:pPr>
      <w:spacing w:before="0" w:after="0"/>
      <w:ind w:firstLine="0"/>
      <w:jc w:val="center"/>
    </w:pPr>
  </w:style>
  <w:style w:type="paragraph" w:customStyle="1" w:styleId="Pargrafo2">
    <w:name w:val="Parágrafo 2"/>
    <w:basedOn w:val="Pargrafo"/>
    <w:pPr>
      <w:spacing w:line="480" w:lineRule="auto"/>
    </w:pPr>
  </w:style>
  <w:style w:type="paragraph" w:styleId="Rodap">
    <w:name w:val="footer"/>
    <w:basedOn w:val="Normal"/>
    <w:rsid w:val="002331F7"/>
    <w:pPr>
      <w:tabs>
        <w:tab w:val="center" w:pos="4252"/>
        <w:tab w:val="right" w:pos="8504"/>
      </w:tabs>
    </w:pPr>
    <w:rPr>
      <w:rFonts w:ascii="Times New Roman" w:eastAsia="Times New Roman" w:hAnsi="Times New Roman"/>
      <w:sz w:val="24"/>
      <w:szCs w:val="24"/>
      <w:lang w:eastAsia="pt-BR"/>
    </w:rPr>
  </w:style>
  <w:style w:type="paragraph" w:styleId="TextosemFormatao">
    <w:name w:val="Plain Text"/>
    <w:basedOn w:val="Normal"/>
    <w:link w:val="TextosemFormataoChar"/>
    <w:uiPriority w:val="99"/>
    <w:unhideWhenUsed/>
    <w:rsid w:val="00DF56C9"/>
    <w:rPr>
      <w:rFonts w:ascii="Consolas" w:eastAsiaTheme="minorHAnsi" w:hAnsi="Consolas" w:cstheme="minorBidi"/>
      <w:sz w:val="21"/>
      <w:szCs w:val="21"/>
    </w:rPr>
  </w:style>
  <w:style w:type="character" w:customStyle="1" w:styleId="TextosemFormataoChar">
    <w:name w:val="Texto sem Formatação Char"/>
    <w:basedOn w:val="Fontepargpadro"/>
    <w:link w:val="TextosemFormatao"/>
    <w:uiPriority w:val="99"/>
    <w:rsid w:val="00DF56C9"/>
    <w:rPr>
      <w:rFonts w:ascii="Consolas" w:eastAsiaTheme="minorHAnsi" w:hAnsi="Consolas" w:cstheme="minorBidi"/>
      <w:sz w:val="21"/>
      <w:szCs w:val="21"/>
      <w:lang w:eastAsia="en-US"/>
    </w:rPr>
  </w:style>
</w:styles>
</file>

<file path=word/webSettings.xml><?xml version="1.0" encoding="utf-8"?>
<w:webSettings xmlns:r="http://schemas.openxmlformats.org/officeDocument/2006/relationships" xmlns:w="http://schemas.openxmlformats.org/wordprocessingml/2006/main">
  <w:divs>
    <w:div w:id="111339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1</TotalTime>
  <Pages>2</Pages>
  <Words>882</Words>
  <Characters>4767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5638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TR300321</dc:creator>
  <cp:lastModifiedBy>TR300321</cp:lastModifiedBy>
  <cp:revision>1</cp:revision>
  <dcterms:created xsi:type="dcterms:W3CDTF">2018-04-09T17:22:00Z</dcterms:created>
  <dcterms:modified xsi:type="dcterms:W3CDTF">2018-04-09T17:23:00Z</dcterms:modified>
</cp:coreProperties>
</file>