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3BF" w:rsidRDefault="007E73BF" w:rsidP="007E73BF">
      <w:pPr>
        <w:pStyle w:val="Pargrafo"/>
        <w:spacing w:before="0" w:after="0" w:line="360" w:lineRule="exact"/>
        <w:ind w:firstLine="709"/>
        <w:rPr>
          <w:b/>
          <w:sz w:val="26"/>
          <w:szCs w:val="26"/>
        </w:rPr>
      </w:pPr>
    </w:p>
    <w:p w:rsidR="007E73BF" w:rsidRPr="00B90682" w:rsidRDefault="007E73BF" w:rsidP="007E73BF">
      <w:pPr>
        <w:pStyle w:val="Pargrafo"/>
        <w:spacing w:before="0" w:after="0" w:line="360" w:lineRule="exact"/>
        <w:ind w:firstLine="709"/>
        <w:rPr>
          <w:b/>
          <w:sz w:val="26"/>
          <w:szCs w:val="26"/>
        </w:rPr>
      </w:pPr>
      <w:r w:rsidRPr="00B90682">
        <w:rPr>
          <w:b/>
          <w:sz w:val="26"/>
          <w:szCs w:val="26"/>
        </w:rPr>
        <w:t>RELATÓRIO</w:t>
      </w:r>
    </w:p>
    <w:p w:rsidR="007E73BF" w:rsidRPr="00330829" w:rsidRDefault="007E73BF" w:rsidP="007E73BF">
      <w:pPr>
        <w:pStyle w:val="Pargrafo"/>
        <w:spacing w:before="0" w:after="0" w:line="360" w:lineRule="exact"/>
        <w:ind w:firstLine="709"/>
        <w:rPr>
          <w:sz w:val="26"/>
          <w:szCs w:val="26"/>
        </w:rPr>
      </w:pPr>
      <w:r w:rsidRPr="000F1A23">
        <w:rPr>
          <w:sz w:val="26"/>
          <w:szCs w:val="26"/>
        </w:rPr>
        <w:t>A</w:t>
      </w:r>
      <w:r>
        <w:rPr>
          <w:sz w:val="26"/>
          <w:szCs w:val="26"/>
        </w:rPr>
        <w:t xml:space="preserve">s partes apelaram da </w:t>
      </w:r>
      <w:r w:rsidRPr="000F1A23">
        <w:rPr>
          <w:sz w:val="26"/>
          <w:szCs w:val="26"/>
        </w:rPr>
        <w:t xml:space="preserve">sentença </w:t>
      </w:r>
      <w:r>
        <w:rPr>
          <w:sz w:val="26"/>
          <w:szCs w:val="26"/>
        </w:rPr>
        <w:t xml:space="preserve">que concedeu parcialmente </w:t>
      </w:r>
      <w:r w:rsidRPr="000F1A23">
        <w:rPr>
          <w:sz w:val="26"/>
          <w:szCs w:val="26"/>
        </w:rPr>
        <w:t xml:space="preserve">a segurança </w:t>
      </w:r>
      <w:r>
        <w:rPr>
          <w:sz w:val="26"/>
          <w:szCs w:val="26"/>
        </w:rPr>
        <w:t xml:space="preserve">para desobrigar a impetrante de recolher </w:t>
      </w:r>
      <w:r w:rsidRPr="000F1A23">
        <w:rPr>
          <w:sz w:val="26"/>
          <w:szCs w:val="26"/>
        </w:rPr>
        <w:t>a contribuição previdenciária sobre</w:t>
      </w:r>
      <w:r w:rsidRPr="00760243">
        <w:rPr>
          <w:sz w:val="30"/>
          <w:szCs w:val="26"/>
        </w:rPr>
        <w:t xml:space="preserve"> </w:t>
      </w:r>
      <w:r w:rsidRPr="00760243">
        <w:rPr>
          <w:sz w:val="26"/>
          <w:szCs w:val="26"/>
        </w:rPr>
        <w:t>os 15 primeiros dias de afastamento por doença/acidente</w:t>
      </w:r>
      <w:r>
        <w:rPr>
          <w:sz w:val="26"/>
          <w:szCs w:val="26"/>
        </w:rPr>
        <w:t>, férias, e seu abono de um terço, quando indenizadas. Deferiu também a c</w:t>
      </w:r>
      <w:r w:rsidRPr="000F1A23">
        <w:rPr>
          <w:sz w:val="26"/>
          <w:szCs w:val="26"/>
        </w:rPr>
        <w:t>ompensação do</w:t>
      </w:r>
      <w:proofErr w:type="gramStart"/>
      <w:r w:rsidRPr="000F1A23">
        <w:rPr>
          <w:sz w:val="26"/>
          <w:szCs w:val="26"/>
        </w:rPr>
        <w:t xml:space="preserve">  </w:t>
      </w:r>
      <w:proofErr w:type="gramEnd"/>
      <w:r w:rsidRPr="000F1A23">
        <w:rPr>
          <w:sz w:val="26"/>
          <w:szCs w:val="26"/>
        </w:rPr>
        <w:t>indébito</w:t>
      </w:r>
      <w:r>
        <w:rPr>
          <w:sz w:val="26"/>
          <w:szCs w:val="26"/>
        </w:rPr>
        <w:t xml:space="preserve">, após o trânsito em julgado, a partir de 29.03.2006. Atualização pela taxa </w:t>
      </w:r>
      <w:proofErr w:type="spellStart"/>
      <w:r>
        <w:rPr>
          <w:sz w:val="26"/>
          <w:szCs w:val="26"/>
        </w:rPr>
        <w:t>selic</w:t>
      </w:r>
      <w:proofErr w:type="spellEnd"/>
      <w:r>
        <w:rPr>
          <w:sz w:val="26"/>
          <w:szCs w:val="26"/>
        </w:rPr>
        <w:t xml:space="preserve"> (fls. 103-6</w:t>
      </w:r>
      <w:r w:rsidRPr="000F1A23">
        <w:rPr>
          <w:sz w:val="26"/>
          <w:szCs w:val="26"/>
        </w:rPr>
        <w:t>)</w:t>
      </w:r>
      <w:r>
        <w:rPr>
          <w:sz w:val="26"/>
          <w:szCs w:val="26"/>
        </w:rPr>
        <w:t>.</w:t>
      </w:r>
    </w:p>
    <w:p w:rsidR="007E73BF" w:rsidRPr="00646FEA" w:rsidRDefault="007E73BF" w:rsidP="007E73BF">
      <w:pPr>
        <w:spacing w:line="360" w:lineRule="exact"/>
        <w:ind w:firstLine="720"/>
        <w:jc w:val="both"/>
        <w:rPr>
          <w:szCs w:val="26"/>
        </w:rPr>
      </w:pPr>
    </w:p>
    <w:p w:rsidR="007E73BF" w:rsidRDefault="007E73BF" w:rsidP="007E73BF">
      <w:pPr>
        <w:spacing w:line="360" w:lineRule="exact"/>
        <w:ind w:firstLine="720"/>
        <w:jc w:val="both"/>
        <w:rPr>
          <w:szCs w:val="26"/>
        </w:rPr>
      </w:pPr>
      <w:r>
        <w:rPr>
          <w:szCs w:val="26"/>
        </w:rPr>
        <w:t>A impetrante pediu para não pagar a contribuição sobre salário-maternidade, férias gozadas e um terço constitucional de férias; aplicação do prazo decenal para a compensação, sem a limitação do art. 170-A do CTN, e com débitos próprios, vencidos ou vincendos, relativos a quaisquer tributos; e a suspensão das penalidades decorrentes do não recolhimento das exações (fls. 112-26).</w:t>
      </w:r>
    </w:p>
    <w:p w:rsidR="007E73BF" w:rsidRDefault="007E73BF" w:rsidP="007E73BF">
      <w:pPr>
        <w:spacing w:line="360" w:lineRule="exact"/>
        <w:ind w:firstLine="720"/>
        <w:jc w:val="both"/>
        <w:rPr>
          <w:szCs w:val="26"/>
        </w:rPr>
      </w:pPr>
    </w:p>
    <w:p w:rsidR="007E73BF" w:rsidRPr="004D1E99" w:rsidRDefault="007E73BF" w:rsidP="007E73BF">
      <w:pPr>
        <w:spacing w:line="360" w:lineRule="exact"/>
        <w:ind w:firstLine="720"/>
        <w:jc w:val="both"/>
        <w:rPr>
          <w:szCs w:val="26"/>
        </w:rPr>
      </w:pPr>
      <w:r>
        <w:rPr>
          <w:szCs w:val="26"/>
        </w:rPr>
        <w:t>A União pediu a reforma do julgado, sustentado a prescrição qüinqüenal e a legalidade da incidência da mencionada contribuição sobre as referidas verbas (fls. 144-58).</w:t>
      </w:r>
    </w:p>
    <w:p w:rsidR="007E73BF" w:rsidRDefault="007E73BF" w:rsidP="007E73BF">
      <w:pPr>
        <w:spacing w:line="360" w:lineRule="exact"/>
        <w:ind w:firstLine="720"/>
        <w:jc w:val="both"/>
        <w:rPr>
          <w:szCs w:val="26"/>
        </w:rPr>
      </w:pPr>
    </w:p>
    <w:p w:rsidR="007E73BF" w:rsidRDefault="007E73BF" w:rsidP="007E73BF">
      <w:pPr>
        <w:spacing w:line="360" w:lineRule="exact"/>
        <w:ind w:firstLine="720"/>
        <w:jc w:val="both"/>
        <w:rPr>
          <w:szCs w:val="26"/>
        </w:rPr>
      </w:pPr>
      <w:r>
        <w:rPr>
          <w:szCs w:val="26"/>
        </w:rPr>
        <w:t>O MPF opinou pelo desprovimento dos recursos (fls. 168-70).</w:t>
      </w:r>
    </w:p>
    <w:p w:rsidR="007E73BF" w:rsidRPr="004D1E99" w:rsidRDefault="007E73BF" w:rsidP="007E73BF">
      <w:pPr>
        <w:spacing w:line="360" w:lineRule="exact"/>
        <w:ind w:firstLine="720"/>
        <w:jc w:val="both"/>
        <w:rPr>
          <w:szCs w:val="26"/>
        </w:rPr>
      </w:pPr>
    </w:p>
    <w:p w:rsidR="007E73BF" w:rsidRDefault="007E73BF" w:rsidP="007E73BF">
      <w:pPr>
        <w:widowControl w:val="0"/>
        <w:spacing w:line="360" w:lineRule="exact"/>
        <w:ind w:firstLine="720"/>
        <w:jc w:val="both"/>
        <w:rPr>
          <w:rFonts w:cs="Arial"/>
          <w:b/>
          <w:szCs w:val="26"/>
        </w:rPr>
      </w:pPr>
      <w:r w:rsidRPr="002063CE">
        <w:rPr>
          <w:rFonts w:cs="Arial"/>
          <w:b/>
          <w:szCs w:val="26"/>
        </w:rPr>
        <w:t>FUNDAMENTOS DO VOTO</w:t>
      </w:r>
    </w:p>
    <w:p w:rsidR="007E73BF" w:rsidRPr="007076E6" w:rsidRDefault="007E73BF" w:rsidP="007E73BF">
      <w:pPr>
        <w:pStyle w:val="ementa"/>
        <w:tabs>
          <w:tab w:val="left" w:pos="1440"/>
        </w:tabs>
        <w:spacing w:before="0" w:after="0" w:line="360" w:lineRule="exact"/>
        <w:ind w:right="-79" w:firstLine="680"/>
        <w:rPr>
          <w:sz w:val="26"/>
          <w:szCs w:val="26"/>
        </w:rPr>
      </w:pPr>
      <w:r w:rsidRPr="002063CE">
        <w:rPr>
          <w:rFonts w:eastAsia="Arial Unicode MS" w:cs="Arial"/>
          <w:b/>
          <w:i/>
          <w:sz w:val="26"/>
          <w:szCs w:val="26"/>
        </w:rPr>
        <w:t>Prescrição.</w:t>
      </w:r>
      <w:r w:rsidRPr="002063CE">
        <w:rPr>
          <w:rFonts w:eastAsia="Arial Unicode MS" w:cs="Arial"/>
          <w:b/>
          <w:sz w:val="26"/>
          <w:szCs w:val="26"/>
        </w:rPr>
        <w:t xml:space="preserve"> </w:t>
      </w:r>
      <w:r w:rsidRPr="002063CE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A sentença </w:t>
      </w:r>
      <w:r w:rsidRPr="006B192C">
        <w:rPr>
          <w:b/>
          <w:i/>
          <w:sz w:val="26"/>
          <w:szCs w:val="26"/>
        </w:rPr>
        <w:t>diverge</w:t>
      </w:r>
      <w:r>
        <w:rPr>
          <w:sz w:val="26"/>
          <w:szCs w:val="26"/>
        </w:rPr>
        <w:t xml:space="preserve"> da </w:t>
      </w:r>
      <w:r w:rsidRPr="007076E6">
        <w:rPr>
          <w:sz w:val="26"/>
          <w:szCs w:val="26"/>
        </w:rPr>
        <w:t xml:space="preserve">jurisprudência do Supremo Tribunal Federal – RE 566.621,  </w:t>
      </w:r>
      <w:proofErr w:type="spellStart"/>
      <w:proofErr w:type="gramStart"/>
      <w:r w:rsidRPr="007076E6">
        <w:rPr>
          <w:sz w:val="26"/>
          <w:szCs w:val="26"/>
        </w:rPr>
        <w:t>r.</w:t>
      </w:r>
      <w:proofErr w:type="spellEnd"/>
      <w:proofErr w:type="gramEnd"/>
      <w:r w:rsidRPr="007076E6">
        <w:rPr>
          <w:sz w:val="26"/>
          <w:szCs w:val="26"/>
        </w:rPr>
        <w:t xml:space="preserve">   Ministra   </w:t>
      </w:r>
      <w:r w:rsidRPr="007076E6">
        <w:rPr>
          <w:i/>
          <w:sz w:val="26"/>
          <w:szCs w:val="26"/>
        </w:rPr>
        <w:t xml:space="preserve">Ellen </w:t>
      </w:r>
      <w:r>
        <w:rPr>
          <w:i/>
          <w:sz w:val="26"/>
          <w:szCs w:val="26"/>
        </w:rPr>
        <w:t xml:space="preserve">  </w:t>
      </w:r>
      <w:proofErr w:type="spellStart"/>
      <w:r w:rsidRPr="007076E6">
        <w:rPr>
          <w:i/>
          <w:sz w:val="26"/>
          <w:szCs w:val="26"/>
        </w:rPr>
        <w:t>Gracie</w:t>
      </w:r>
      <w:proofErr w:type="spellEnd"/>
      <w:r>
        <w:rPr>
          <w:sz w:val="26"/>
          <w:szCs w:val="26"/>
        </w:rPr>
        <w:t>.</w:t>
      </w:r>
      <w:r w:rsidRPr="007076E6">
        <w:rPr>
          <w:sz w:val="26"/>
          <w:szCs w:val="26"/>
        </w:rPr>
        <w:t xml:space="preserve"> Plenário</w:t>
      </w:r>
      <w:r>
        <w:rPr>
          <w:sz w:val="26"/>
          <w:szCs w:val="26"/>
        </w:rPr>
        <w:t xml:space="preserve">. Proposta a ação depois de 09.06.2005, a prescrição é qüinqüenal: </w:t>
      </w:r>
    </w:p>
    <w:p w:rsidR="007E73BF" w:rsidRDefault="007E73BF" w:rsidP="007E73BF">
      <w:pPr>
        <w:pStyle w:val="citao"/>
      </w:pPr>
      <w:r>
        <w:t>...</w:t>
      </w:r>
    </w:p>
    <w:p w:rsidR="007E73BF" w:rsidRPr="00CC1B96" w:rsidRDefault="007E73BF" w:rsidP="007E73BF">
      <w:pPr>
        <w:pStyle w:val="citao"/>
      </w:pPr>
      <w:r>
        <w:t>O</w:t>
      </w:r>
      <w:r w:rsidRPr="00CC1B96">
        <w:t xml:space="preserve"> prazo de </w:t>
      </w:r>
      <w:proofErr w:type="spellStart"/>
      <w:r w:rsidRPr="00CC1B96">
        <w:t>vacatio</w:t>
      </w:r>
      <w:proofErr w:type="spellEnd"/>
      <w:r w:rsidRPr="00CC1B96">
        <w:t xml:space="preserve"> </w:t>
      </w:r>
      <w:proofErr w:type="spellStart"/>
      <w:r w:rsidRPr="00CC1B96">
        <w:t>legis</w:t>
      </w:r>
      <w:proofErr w:type="spellEnd"/>
      <w:r w:rsidRPr="00CC1B96">
        <w:t xml:space="preserve"> de 120 dias permitiu aos contribuintes não apenas que tomassem ciência do novo prazo, mas também que ajuizassem as ações necessárias à tutela dos seus direitos. Inaplicabilidade do art. 2.028 do Código Civil, pois, não havendo lacuna na LC 118/08, que pretendeu a aplicação do novo prazo na maior extensão possível, descabida sua aplicação por analogia. Além disso, não se trata de lei geral, tampouco impede iniciativa legislativa </w:t>
      </w:r>
      <w:smartTag w:uri="urn:schemas-microsoft-com:office:smarttags" w:element="PersonName">
        <w:smartTagPr>
          <w:attr w:name="ProductID" w:val="em contr￡rio. Reconhecida"/>
        </w:smartTagPr>
        <w:r w:rsidRPr="00CC1B96">
          <w:t xml:space="preserve">em contrário. </w:t>
        </w:r>
        <w:r w:rsidRPr="00CC1B96">
          <w:rPr>
            <w:b/>
          </w:rPr>
          <w:t>Reconhecida</w:t>
        </w:r>
      </w:smartTag>
      <w:r w:rsidRPr="00CC1B96">
        <w:rPr>
          <w:b/>
        </w:rPr>
        <w:t xml:space="preserve"> a inconstitucionalidade art. 4º, segunda parte, da LC 118/05, considerando-se válida a aplicação do novo prazo de 5 anos tão-somente às ações ajuizadas após o decurso da </w:t>
      </w:r>
      <w:proofErr w:type="spellStart"/>
      <w:r w:rsidRPr="00E073DA">
        <w:rPr>
          <w:b/>
          <w:i/>
        </w:rPr>
        <w:t>vacatio</w:t>
      </w:r>
      <w:proofErr w:type="spellEnd"/>
      <w:r w:rsidRPr="00E073DA">
        <w:rPr>
          <w:b/>
          <w:i/>
        </w:rPr>
        <w:t xml:space="preserve"> </w:t>
      </w:r>
      <w:proofErr w:type="spellStart"/>
      <w:r w:rsidRPr="00E073DA">
        <w:rPr>
          <w:b/>
          <w:i/>
        </w:rPr>
        <w:t>legis</w:t>
      </w:r>
      <w:proofErr w:type="spellEnd"/>
      <w:r w:rsidRPr="00CC1B96">
        <w:rPr>
          <w:b/>
        </w:rPr>
        <w:t xml:space="preserve"> de 120 dias, ou seja, a partir de 9 de junho de 2005. Aplicação do art. 543-B, § 3º, do CPC aos recursos sobrestados.</w:t>
      </w:r>
      <w:r>
        <w:t xml:space="preserve"> </w:t>
      </w:r>
    </w:p>
    <w:p w:rsidR="007E73BF" w:rsidRDefault="007E73BF" w:rsidP="007E73BF">
      <w:pPr>
        <w:pStyle w:val="ementa"/>
        <w:tabs>
          <w:tab w:val="left" w:pos="1440"/>
        </w:tabs>
        <w:spacing w:before="0" w:after="0" w:line="360" w:lineRule="exact"/>
        <w:ind w:right="-79" w:firstLine="540"/>
        <w:rPr>
          <w:sz w:val="26"/>
          <w:szCs w:val="26"/>
        </w:rPr>
      </w:pPr>
    </w:p>
    <w:p w:rsidR="007E73BF" w:rsidRDefault="007E73BF" w:rsidP="007E73BF">
      <w:pPr>
        <w:tabs>
          <w:tab w:val="left" w:pos="682"/>
        </w:tabs>
        <w:spacing w:line="360" w:lineRule="exact"/>
        <w:ind w:firstLine="709"/>
        <w:jc w:val="both"/>
        <w:rPr>
          <w:rFonts w:cs="Arial"/>
          <w:b/>
          <w:i/>
          <w:szCs w:val="26"/>
        </w:rPr>
      </w:pPr>
    </w:p>
    <w:p w:rsidR="007E73BF" w:rsidRPr="00A478D5" w:rsidRDefault="007E73BF" w:rsidP="007E73BF">
      <w:pPr>
        <w:tabs>
          <w:tab w:val="left" w:pos="682"/>
        </w:tabs>
        <w:spacing w:line="360" w:lineRule="exact"/>
        <w:ind w:firstLine="709"/>
        <w:jc w:val="both"/>
        <w:rPr>
          <w:rFonts w:cs="Arial"/>
          <w:szCs w:val="26"/>
        </w:rPr>
      </w:pPr>
      <w:r w:rsidRPr="0080708C">
        <w:rPr>
          <w:rFonts w:cs="Arial"/>
          <w:b/>
          <w:i/>
          <w:szCs w:val="26"/>
        </w:rPr>
        <w:lastRenderedPageBreak/>
        <w:t>Salário pago ao empregado nos 15 primeiros dias de afastamento por doença ou aci</w:t>
      </w:r>
      <w:r>
        <w:rPr>
          <w:rFonts w:cs="Arial"/>
          <w:b/>
          <w:i/>
          <w:szCs w:val="26"/>
        </w:rPr>
        <w:t xml:space="preserve">dente. </w:t>
      </w:r>
      <w:r w:rsidR="000B35AF" w:rsidRPr="003048BB">
        <w:rPr>
          <w:rFonts w:cs="Arial"/>
          <w:b/>
          <w:i/>
          <w:szCs w:val="26"/>
        </w:rPr>
        <w:t xml:space="preserve">Terço constitucional de férias. </w:t>
      </w:r>
      <w:r>
        <w:rPr>
          <w:rFonts w:cs="Arial"/>
          <w:b/>
          <w:i/>
          <w:szCs w:val="26"/>
        </w:rPr>
        <w:t>Férias indenizadas</w:t>
      </w:r>
      <w:r w:rsidR="000B35AF">
        <w:rPr>
          <w:rFonts w:cs="Arial"/>
          <w:b/>
          <w:i/>
          <w:szCs w:val="26"/>
        </w:rPr>
        <w:t xml:space="preserve"> e o respectivo t</w:t>
      </w:r>
      <w:r>
        <w:rPr>
          <w:rFonts w:cs="Arial"/>
          <w:b/>
          <w:i/>
          <w:szCs w:val="26"/>
        </w:rPr>
        <w:t>erço constitucional</w:t>
      </w:r>
      <w:r w:rsidR="000B35AF">
        <w:rPr>
          <w:rFonts w:cs="Arial"/>
          <w:b/>
          <w:i/>
          <w:szCs w:val="26"/>
        </w:rPr>
        <w:t>.</w:t>
      </w:r>
      <w:r w:rsidRPr="003048BB">
        <w:rPr>
          <w:rFonts w:cs="Arial"/>
          <w:b/>
          <w:i/>
          <w:szCs w:val="26"/>
        </w:rPr>
        <w:t xml:space="preserve"> </w:t>
      </w:r>
      <w:r w:rsidRPr="00A478D5">
        <w:rPr>
          <w:rFonts w:cs="Arial"/>
          <w:szCs w:val="26"/>
        </w:rPr>
        <w:t>Ilegítima a incidência da contribuição sobre essas parcelas, conforme jurisprudência firmada nos precedentes dest</w:t>
      </w:r>
      <w:r>
        <w:rPr>
          <w:rFonts w:cs="Arial"/>
          <w:szCs w:val="26"/>
        </w:rPr>
        <w:t xml:space="preserve">e </w:t>
      </w:r>
      <w:r w:rsidRPr="00A478D5">
        <w:rPr>
          <w:rFonts w:cs="Arial"/>
          <w:szCs w:val="26"/>
        </w:rPr>
        <w:t>T</w:t>
      </w:r>
      <w:r>
        <w:rPr>
          <w:rFonts w:cs="Arial"/>
          <w:szCs w:val="26"/>
        </w:rPr>
        <w:t>ribunal:</w:t>
      </w:r>
    </w:p>
    <w:p w:rsidR="007E73BF" w:rsidRDefault="007E73BF" w:rsidP="007E73BF">
      <w:pPr>
        <w:pStyle w:val="citao"/>
        <w:pBdr>
          <w:top w:val="single" w:sz="4" w:space="1" w:color="999999"/>
          <w:left w:val="single" w:sz="4" w:space="1" w:color="999999"/>
          <w:bottom w:val="single" w:sz="4" w:space="1" w:color="999999"/>
          <w:right w:val="single" w:sz="4" w:space="4" w:color="999999"/>
        </w:pBdr>
      </w:pPr>
      <w:r w:rsidRPr="007B56BA">
        <w:rPr>
          <w:u w:val="single"/>
        </w:rPr>
        <w:t>AC 0004869-71.2010.4.01.3304 / BA</w:t>
      </w:r>
      <w:r>
        <w:t xml:space="preserve">, </w:t>
      </w:r>
      <w:proofErr w:type="spellStart"/>
      <w:r>
        <w:t>r.</w:t>
      </w:r>
      <w:proofErr w:type="spellEnd"/>
      <w:r>
        <w:t xml:space="preserve"> Des. Federal </w:t>
      </w:r>
      <w:r w:rsidRPr="007B56BA">
        <w:rPr>
          <w:i/>
        </w:rPr>
        <w:t>Maria do Carmo Cardoso</w:t>
      </w:r>
      <w:r>
        <w:t>:</w:t>
      </w:r>
    </w:p>
    <w:p w:rsidR="007E73BF" w:rsidRDefault="007E73BF" w:rsidP="007E73BF">
      <w:pPr>
        <w:pStyle w:val="citao"/>
        <w:pBdr>
          <w:top w:val="single" w:sz="4" w:space="1" w:color="999999"/>
          <w:left w:val="single" w:sz="4" w:space="1" w:color="999999"/>
          <w:bottom w:val="single" w:sz="4" w:space="1" w:color="999999"/>
          <w:right w:val="single" w:sz="4" w:space="4" w:color="999999"/>
        </w:pBdr>
      </w:pPr>
      <w:r>
        <w:t>...</w:t>
      </w:r>
    </w:p>
    <w:p w:rsidR="007E73BF" w:rsidRDefault="007E73BF" w:rsidP="007E73BF">
      <w:pPr>
        <w:pStyle w:val="citao"/>
        <w:pBdr>
          <w:top w:val="single" w:sz="4" w:space="1" w:color="999999"/>
          <w:left w:val="single" w:sz="4" w:space="1" w:color="999999"/>
          <w:bottom w:val="single" w:sz="4" w:space="1" w:color="999999"/>
          <w:right w:val="single" w:sz="4" w:space="4" w:color="999999"/>
        </w:pBdr>
      </w:pPr>
      <w:r>
        <w:t xml:space="preserve">2.Os valores percebidos </w:t>
      </w:r>
      <w:r w:rsidRPr="007B56BA">
        <w:rPr>
          <w:b/>
          <w:i/>
        </w:rPr>
        <w:t>nos primeiros 15 dias de afastamento do trabalho por motivo de doença ou acidente</w:t>
      </w:r>
      <w:r>
        <w:t xml:space="preserve"> não comportam natureza salarial, uma vez que não há contraprestação ao trabalho realizado e têm efeitos transitórios. Sobre eles não incide a contribuição previdenciária para o RGPS. </w:t>
      </w:r>
    </w:p>
    <w:p w:rsidR="007E73BF" w:rsidRDefault="007E73BF" w:rsidP="007E73BF">
      <w:pPr>
        <w:pStyle w:val="citao"/>
        <w:pBdr>
          <w:top w:val="single" w:sz="4" w:space="1" w:color="999999"/>
          <w:left w:val="single" w:sz="4" w:space="1" w:color="999999"/>
          <w:bottom w:val="single" w:sz="4" w:space="1" w:color="999999"/>
          <w:right w:val="single" w:sz="4" w:space="4" w:color="999999"/>
        </w:pBdr>
      </w:pPr>
    </w:p>
    <w:p w:rsidR="007E73BF" w:rsidRDefault="007E73BF" w:rsidP="007E73BF">
      <w:pPr>
        <w:pStyle w:val="citao"/>
        <w:pBdr>
          <w:top w:val="single" w:sz="4" w:space="1" w:color="999999"/>
          <w:left w:val="single" w:sz="4" w:space="1" w:color="999999"/>
          <w:bottom w:val="single" w:sz="4" w:space="1" w:color="999999"/>
          <w:right w:val="single" w:sz="4" w:space="4" w:color="999999"/>
        </w:pBdr>
      </w:pPr>
      <w:r>
        <w:t xml:space="preserve">3. A jurisprudência do Superior Tribunal de Justiça consolidou o entendimento de que fica afastada a incidência da contribuição previdenciária sobre o </w:t>
      </w:r>
      <w:r w:rsidRPr="00BD12CD">
        <w:rPr>
          <w:b/>
          <w:i/>
        </w:rPr>
        <w:t>terço de férias</w:t>
      </w:r>
      <w:r>
        <w:t xml:space="preserve"> também de empregados celetistas contratados por empresas privadas (</w:t>
      </w:r>
      <w:proofErr w:type="spellStart"/>
      <w:proofErr w:type="gramStart"/>
      <w:r>
        <w:t>AgRg</w:t>
      </w:r>
      <w:proofErr w:type="spellEnd"/>
      <w:proofErr w:type="gramEnd"/>
      <w:r>
        <w:t xml:space="preserve"> nos </w:t>
      </w:r>
      <w:proofErr w:type="spellStart"/>
      <w:r>
        <w:t>EREsp</w:t>
      </w:r>
      <w:proofErr w:type="spellEnd"/>
      <w:r>
        <w:t xml:space="preserve"> 957.719/SC).</w:t>
      </w:r>
    </w:p>
    <w:p w:rsidR="007E73BF" w:rsidRDefault="007E73BF" w:rsidP="007E73BF">
      <w:pPr>
        <w:pStyle w:val="citao"/>
        <w:pBdr>
          <w:top w:val="single" w:sz="4" w:space="1" w:color="999999"/>
          <w:left w:val="single" w:sz="4" w:space="1" w:color="999999"/>
          <w:bottom w:val="single" w:sz="4" w:space="1" w:color="999999"/>
          <w:right w:val="single" w:sz="4" w:space="4" w:color="999999"/>
        </w:pBdr>
      </w:pPr>
      <w:r>
        <w:t xml:space="preserve">... </w:t>
      </w:r>
    </w:p>
    <w:p w:rsidR="007E73BF" w:rsidRDefault="007E73BF" w:rsidP="007E73BF">
      <w:pPr>
        <w:pStyle w:val="citao"/>
        <w:pBdr>
          <w:top w:val="single" w:sz="4" w:space="1" w:color="999999"/>
          <w:left w:val="single" w:sz="4" w:space="1" w:color="999999"/>
          <w:bottom w:val="single" w:sz="4" w:space="1" w:color="999999"/>
          <w:right w:val="single" w:sz="4" w:space="4" w:color="999999"/>
        </w:pBdr>
        <w:rPr>
          <w:i/>
        </w:rPr>
      </w:pPr>
      <w:r w:rsidRPr="007B56BA">
        <w:rPr>
          <w:u w:val="single"/>
        </w:rPr>
        <w:t xml:space="preserve">AC 0002519-69.2009.4.01.3814 </w:t>
      </w:r>
      <w:r>
        <w:rPr>
          <w:u w:val="single"/>
        </w:rPr>
        <w:t>-</w:t>
      </w:r>
      <w:r w:rsidRPr="007B56BA">
        <w:rPr>
          <w:u w:val="single"/>
        </w:rPr>
        <w:t xml:space="preserve"> MG</w:t>
      </w:r>
      <w:r>
        <w:t xml:space="preserve">, </w:t>
      </w:r>
      <w:proofErr w:type="spellStart"/>
      <w:r>
        <w:t>r.</w:t>
      </w:r>
      <w:proofErr w:type="spellEnd"/>
      <w:r>
        <w:t xml:space="preserve"> Des. Federal </w:t>
      </w:r>
      <w:proofErr w:type="spellStart"/>
      <w:r>
        <w:t>Leomar</w:t>
      </w:r>
      <w:proofErr w:type="spellEnd"/>
      <w:r>
        <w:t xml:space="preserve"> Barros Amorim De Sousa, </w:t>
      </w:r>
      <w:proofErr w:type="spellStart"/>
      <w:r>
        <w:t>Rel.Conv.</w:t>
      </w:r>
      <w:proofErr w:type="spellEnd"/>
      <w:r>
        <w:t xml:space="preserve"> Juiz Federal </w:t>
      </w:r>
      <w:proofErr w:type="spellStart"/>
      <w:r w:rsidRPr="00AD70F1">
        <w:rPr>
          <w:i/>
        </w:rPr>
        <w:t>Clodomir</w:t>
      </w:r>
      <w:proofErr w:type="spellEnd"/>
      <w:r w:rsidRPr="00AD70F1">
        <w:rPr>
          <w:i/>
        </w:rPr>
        <w:t xml:space="preserve"> Sebastião Reis</w:t>
      </w:r>
      <w:r>
        <w:rPr>
          <w:i/>
        </w:rPr>
        <w:t>:</w:t>
      </w:r>
    </w:p>
    <w:p w:rsidR="007E73BF" w:rsidRDefault="007E73BF" w:rsidP="007E73BF">
      <w:pPr>
        <w:pStyle w:val="citao"/>
        <w:pBdr>
          <w:top w:val="single" w:sz="4" w:space="1" w:color="999999"/>
          <w:left w:val="single" w:sz="4" w:space="1" w:color="999999"/>
          <w:bottom w:val="single" w:sz="4" w:space="1" w:color="999999"/>
          <w:right w:val="single" w:sz="4" w:space="4" w:color="999999"/>
        </w:pBdr>
      </w:pPr>
      <w:r>
        <w:t>...</w:t>
      </w:r>
    </w:p>
    <w:p w:rsidR="007E73BF" w:rsidRDefault="007E73BF" w:rsidP="007E73BF">
      <w:pPr>
        <w:pStyle w:val="citao"/>
        <w:pBdr>
          <w:top w:val="single" w:sz="4" w:space="1" w:color="999999"/>
          <w:left w:val="single" w:sz="4" w:space="1" w:color="999999"/>
          <w:bottom w:val="single" w:sz="4" w:space="1" w:color="999999"/>
          <w:right w:val="single" w:sz="4" w:space="4" w:color="999999"/>
        </w:pBdr>
      </w:pPr>
      <w:r>
        <w:t xml:space="preserve">2. O </w:t>
      </w:r>
      <w:r w:rsidRPr="005C0291">
        <w:t>abono pecuniário de férias</w:t>
      </w:r>
      <w:r>
        <w:t xml:space="preserve"> (</w:t>
      </w:r>
      <w:r w:rsidRPr="00AD70F1">
        <w:rPr>
          <w:b/>
          <w:i/>
        </w:rPr>
        <w:t>adicional de 1/3 constitucional</w:t>
      </w:r>
      <w:r>
        <w:t xml:space="preserve">), assim como o valor pago pela conversão de férias em pecúnia, guarda natureza indenizatória, por isso que não sofre incidência da contribuição previdenciária. Precedentes desta </w:t>
      </w:r>
      <w:proofErr w:type="gramStart"/>
      <w:r>
        <w:t>Corte</w:t>
      </w:r>
      <w:proofErr w:type="gramEnd"/>
      <w:r>
        <w:t xml:space="preserve"> e do STJ. </w:t>
      </w:r>
    </w:p>
    <w:p w:rsidR="007E73BF" w:rsidRDefault="007E73BF" w:rsidP="007E73BF">
      <w:pPr>
        <w:pStyle w:val="citao"/>
        <w:pBdr>
          <w:top w:val="single" w:sz="4" w:space="1" w:color="999999"/>
          <w:left w:val="single" w:sz="4" w:space="1" w:color="999999"/>
          <w:bottom w:val="single" w:sz="4" w:space="1" w:color="999999"/>
          <w:right w:val="single" w:sz="4" w:space="4" w:color="999999"/>
        </w:pBdr>
      </w:pPr>
    </w:p>
    <w:p w:rsidR="007E73BF" w:rsidRDefault="007E73BF" w:rsidP="007E73BF">
      <w:pPr>
        <w:pStyle w:val="citao"/>
        <w:pBdr>
          <w:top w:val="single" w:sz="4" w:space="1" w:color="999999"/>
          <w:left w:val="single" w:sz="4" w:space="1" w:color="999999"/>
          <w:bottom w:val="single" w:sz="4" w:space="1" w:color="999999"/>
          <w:right w:val="single" w:sz="4" w:space="4" w:color="999999"/>
        </w:pBdr>
      </w:pPr>
      <w:r>
        <w:t xml:space="preserve">3. A jurisprudência encontra-se pacificada no sentido de que a remuneração paga pelo empregador durante os primeiros </w:t>
      </w:r>
      <w:r w:rsidRPr="00AD70F1">
        <w:rPr>
          <w:b/>
          <w:i/>
        </w:rPr>
        <w:t>quinze dias de afastamento do empregado por motivo de doença ou acidente</w:t>
      </w:r>
      <w:r>
        <w:t xml:space="preserve"> não tem natureza salarial e sim previdenciária. Precedentes desta </w:t>
      </w:r>
      <w:proofErr w:type="gramStart"/>
      <w:r>
        <w:t>Corte</w:t>
      </w:r>
      <w:proofErr w:type="gramEnd"/>
      <w:r>
        <w:t xml:space="preserve"> e do STJ. </w:t>
      </w:r>
    </w:p>
    <w:p w:rsidR="007E73BF" w:rsidRDefault="007E73BF" w:rsidP="007E73BF">
      <w:pPr>
        <w:pStyle w:val="citao"/>
        <w:pBdr>
          <w:top w:val="single" w:sz="4" w:space="1" w:color="999999"/>
          <w:left w:val="single" w:sz="4" w:space="1" w:color="999999"/>
          <w:bottom w:val="single" w:sz="4" w:space="1" w:color="999999"/>
          <w:right w:val="single" w:sz="4" w:space="4" w:color="999999"/>
        </w:pBdr>
      </w:pPr>
      <w:r>
        <w:t>...</w:t>
      </w:r>
    </w:p>
    <w:p w:rsidR="007E73BF" w:rsidRDefault="007E73BF" w:rsidP="007E73BF">
      <w:pPr>
        <w:pStyle w:val="citao"/>
        <w:pBdr>
          <w:top w:val="single" w:sz="4" w:space="1" w:color="999999"/>
          <w:left w:val="single" w:sz="4" w:space="1" w:color="999999"/>
          <w:bottom w:val="single" w:sz="4" w:space="1" w:color="999999"/>
          <w:right w:val="single" w:sz="4" w:space="4" w:color="999999"/>
        </w:pBdr>
      </w:pPr>
      <w:r w:rsidRPr="003048BB">
        <w:rPr>
          <w:u w:val="single"/>
        </w:rPr>
        <w:t xml:space="preserve">AGA 0036626-04.2010.4.01.0000 </w:t>
      </w:r>
      <w:r>
        <w:rPr>
          <w:u w:val="single"/>
        </w:rPr>
        <w:t>-</w:t>
      </w:r>
      <w:r w:rsidRPr="003048BB">
        <w:rPr>
          <w:u w:val="single"/>
        </w:rPr>
        <w:t xml:space="preserve"> MT</w:t>
      </w:r>
      <w:r w:rsidRPr="003048BB">
        <w:t xml:space="preserve">, </w:t>
      </w:r>
      <w:proofErr w:type="spellStart"/>
      <w:r>
        <w:t>r.</w:t>
      </w:r>
      <w:proofErr w:type="spellEnd"/>
      <w:r>
        <w:t xml:space="preserve"> Des.</w:t>
      </w:r>
      <w:r w:rsidRPr="003048BB">
        <w:t xml:space="preserve"> Federal </w:t>
      </w:r>
      <w:r w:rsidRPr="003048BB">
        <w:rPr>
          <w:i/>
        </w:rPr>
        <w:t>Luciano Tolentino Amaral</w:t>
      </w:r>
      <w:r w:rsidRPr="003048BB">
        <w:t xml:space="preserve">, </w:t>
      </w:r>
      <w:r>
        <w:t xml:space="preserve">7ª </w:t>
      </w:r>
      <w:r w:rsidRPr="003048BB">
        <w:t>Turma</w:t>
      </w:r>
      <w:r>
        <w:t>:</w:t>
      </w:r>
    </w:p>
    <w:p w:rsidR="007E73BF" w:rsidRDefault="007E73BF" w:rsidP="007E73BF">
      <w:pPr>
        <w:pStyle w:val="citao"/>
        <w:pBdr>
          <w:top w:val="single" w:sz="4" w:space="1" w:color="999999"/>
          <w:left w:val="single" w:sz="4" w:space="1" w:color="999999"/>
          <w:bottom w:val="single" w:sz="4" w:space="1" w:color="999999"/>
          <w:right w:val="single" w:sz="4" w:space="4" w:color="999999"/>
        </w:pBdr>
      </w:pPr>
      <w:r>
        <w:t xml:space="preserve">1. </w:t>
      </w:r>
      <w:r w:rsidRPr="003048BB">
        <w:rPr>
          <w:b/>
          <w:i/>
        </w:rPr>
        <w:t>O rol taxativo constante do § 9º do art. 28 da Lei 8.212/91 expressamente exclui as férias indenizadas e o respectivo terço constitucional do salário de contribuição previdenciária.</w:t>
      </w:r>
      <w:r>
        <w:t xml:space="preserve"> </w:t>
      </w:r>
    </w:p>
    <w:p w:rsidR="007E73BF" w:rsidRDefault="007E73BF" w:rsidP="007E73BF">
      <w:pPr>
        <w:pStyle w:val="citao"/>
        <w:pBdr>
          <w:top w:val="single" w:sz="4" w:space="1" w:color="999999"/>
          <w:left w:val="single" w:sz="4" w:space="1" w:color="999999"/>
          <w:bottom w:val="single" w:sz="4" w:space="1" w:color="999999"/>
          <w:right w:val="single" w:sz="4" w:space="4" w:color="999999"/>
        </w:pBdr>
      </w:pPr>
    </w:p>
    <w:p w:rsidR="007E73BF" w:rsidRDefault="007E73BF" w:rsidP="007E73BF">
      <w:pPr>
        <w:pStyle w:val="citao"/>
        <w:pBdr>
          <w:top w:val="single" w:sz="4" w:space="1" w:color="999999"/>
          <w:left w:val="single" w:sz="4" w:space="1" w:color="999999"/>
          <w:bottom w:val="single" w:sz="4" w:space="1" w:color="999999"/>
          <w:right w:val="single" w:sz="4" w:space="4" w:color="999999"/>
        </w:pBdr>
      </w:pPr>
      <w:r>
        <w:t xml:space="preserve">2. É dominante na jurisprudência pretoriana o entendimento segundo o qual não é devida contribuição previdenciária sobre a remuneração paga pelo empregador ao empregado durante os </w:t>
      </w:r>
      <w:r w:rsidRPr="003048BB">
        <w:rPr>
          <w:b/>
          <w:i/>
        </w:rPr>
        <w:t>quinze primeiros dias</w:t>
      </w:r>
      <w:r>
        <w:t xml:space="preserve"> que antecedem à concessão do auxílio-doença, porque, sem contraprestação laboral, não tem natureza salarial.</w:t>
      </w:r>
    </w:p>
    <w:p w:rsidR="007E73BF" w:rsidRDefault="007E73BF" w:rsidP="007E73BF">
      <w:pPr>
        <w:pStyle w:val="citao"/>
        <w:pBdr>
          <w:top w:val="single" w:sz="4" w:space="1" w:color="999999"/>
          <w:left w:val="single" w:sz="4" w:space="1" w:color="999999"/>
          <w:bottom w:val="single" w:sz="4" w:space="1" w:color="999999"/>
          <w:right w:val="single" w:sz="4" w:space="4" w:color="999999"/>
        </w:pBdr>
      </w:pPr>
      <w:r>
        <w:t xml:space="preserve">... </w:t>
      </w:r>
    </w:p>
    <w:p w:rsidR="007E73BF" w:rsidRDefault="007E73BF" w:rsidP="007E73BF">
      <w:pPr>
        <w:pStyle w:val="Identificao"/>
        <w:spacing w:line="360" w:lineRule="exact"/>
        <w:ind w:firstLine="539"/>
        <w:rPr>
          <w:b/>
          <w:i/>
          <w:sz w:val="26"/>
          <w:szCs w:val="26"/>
        </w:rPr>
      </w:pPr>
    </w:p>
    <w:p w:rsidR="007E73BF" w:rsidRPr="004F3AE9" w:rsidRDefault="007E73BF" w:rsidP="007E73BF">
      <w:pPr>
        <w:pStyle w:val="ementa"/>
        <w:tabs>
          <w:tab w:val="left" w:pos="1440"/>
        </w:tabs>
        <w:spacing w:before="0" w:after="0" w:line="360" w:lineRule="exact"/>
        <w:ind w:right="-79" w:firstLine="709"/>
        <w:rPr>
          <w:rFonts w:eastAsia="Arial Unicode MS" w:cs="Arial"/>
          <w:sz w:val="26"/>
          <w:szCs w:val="26"/>
        </w:rPr>
      </w:pPr>
      <w:proofErr w:type="spellStart"/>
      <w:r w:rsidRPr="008634BD">
        <w:rPr>
          <w:rFonts w:eastAsia="Arial Unicode MS" w:cs="Arial"/>
          <w:b/>
          <w:i/>
          <w:sz w:val="26"/>
          <w:szCs w:val="26"/>
        </w:rPr>
        <w:t>Salário-maternidade</w:t>
      </w:r>
      <w:proofErr w:type="spellEnd"/>
      <w:r w:rsidR="00767104">
        <w:rPr>
          <w:rFonts w:eastAsia="Arial Unicode MS" w:cs="Arial"/>
          <w:b/>
          <w:i/>
          <w:sz w:val="26"/>
          <w:szCs w:val="26"/>
        </w:rPr>
        <w:t>. Férias</w:t>
      </w:r>
      <w:r w:rsidRPr="008634BD">
        <w:rPr>
          <w:rFonts w:eastAsia="Arial Unicode MS" w:cs="Arial"/>
          <w:b/>
          <w:i/>
          <w:sz w:val="26"/>
          <w:szCs w:val="26"/>
        </w:rPr>
        <w:t>.</w:t>
      </w:r>
      <w:r>
        <w:rPr>
          <w:rFonts w:eastAsia="Arial Unicode MS" w:cs="Arial"/>
          <w:b/>
          <w:sz w:val="20"/>
        </w:rPr>
        <w:t xml:space="preserve"> </w:t>
      </w:r>
      <w:r>
        <w:rPr>
          <w:rFonts w:eastAsia="Arial Unicode MS" w:cs="Arial"/>
          <w:sz w:val="26"/>
          <w:szCs w:val="26"/>
        </w:rPr>
        <w:t xml:space="preserve">Incide a contribuição previdenciária. Precedente do STJ – </w:t>
      </w:r>
      <w:proofErr w:type="spellStart"/>
      <w:proofErr w:type="gramStart"/>
      <w:r w:rsidRPr="004F3AE9">
        <w:rPr>
          <w:rFonts w:eastAsia="Arial Unicode MS" w:cs="Arial"/>
          <w:sz w:val="26"/>
          <w:szCs w:val="26"/>
        </w:rPr>
        <w:t>AgRg</w:t>
      </w:r>
      <w:proofErr w:type="spellEnd"/>
      <w:proofErr w:type="gramEnd"/>
      <w:r w:rsidRPr="004F3AE9">
        <w:rPr>
          <w:rFonts w:eastAsia="Arial Unicode MS" w:cs="Arial"/>
          <w:sz w:val="26"/>
          <w:szCs w:val="26"/>
        </w:rPr>
        <w:t xml:space="preserve"> nos </w:t>
      </w:r>
      <w:proofErr w:type="spellStart"/>
      <w:r w:rsidRPr="004F3AE9">
        <w:rPr>
          <w:rFonts w:eastAsia="Arial Unicode MS" w:cs="Arial"/>
          <w:sz w:val="26"/>
          <w:szCs w:val="26"/>
        </w:rPr>
        <w:t>EDcl</w:t>
      </w:r>
      <w:proofErr w:type="spellEnd"/>
      <w:r w:rsidRPr="004F3AE9">
        <w:rPr>
          <w:rFonts w:eastAsia="Arial Unicode MS" w:cs="Arial"/>
          <w:sz w:val="26"/>
          <w:szCs w:val="26"/>
        </w:rPr>
        <w:t xml:space="preserve"> no </w:t>
      </w:r>
      <w:proofErr w:type="spellStart"/>
      <w:r w:rsidRPr="004F3AE9">
        <w:rPr>
          <w:rFonts w:eastAsia="Arial Unicode MS" w:cs="Arial"/>
          <w:sz w:val="26"/>
          <w:szCs w:val="26"/>
        </w:rPr>
        <w:t>AREsp</w:t>
      </w:r>
      <w:proofErr w:type="spellEnd"/>
      <w:r w:rsidRPr="004F3AE9">
        <w:rPr>
          <w:rFonts w:eastAsia="Arial Unicode MS" w:cs="Arial"/>
          <w:sz w:val="26"/>
          <w:szCs w:val="26"/>
        </w:rPr>
        <w:t xml:space="preserve"> 135.682/MG, </w:t>
      </w:r>
      <w:proofErr w:type="spellStart"/>
      <w:r w:rsidRPr="004F3AE9">
        <w:rPr>
          <w:rFonts w:eastAsia="Arial Unicode MS" w:cs="Arial"/>
          <w:sz w:val="26"/>
          <w:szCs w:val="26"/>
        </w:rPr>
        <w:t>r.</w:t>
      </w:r>
      <w:proofErr w:type="spellEnd"/>
      <w:r w:rsidRPr="004F3AE9">
        <w:rPr>
          <w:rFonts w:eastAsia="Arial Unicode MS" w:cs="Arial"/>
          <w:sz w:val="26"/>
          <w:szCs w:val="26"/>
        </w:rPr>
        <w:t xml:space="preserve"> Ministro </w:t>
      </w:r>
      <w:proofErr w:type="spellStart"/>
      <w:r w:rsidRPr="004F3AE9">
        <w:rPr>
          <w:rFonts w:eastAsia="Arial Unicode MS" w:cs="Arial"/>
          <w:sz w:val="26"/>
          <w:szCs w:val="26"/>
        </w:rPr>
        <w:t>Herman</w:t>
      </w:r>
      <w:proofErr w:type="spellEnd"/>
      <w:r w:rsidRPr="004F3AE9">
        <w:rPr>
          <w:rFonts w:eastAsia="Arial Unicode MS" w:cs="Arial"/>
          <w:sz w:val="26"/>
          <w:szCs w:val="26"/>
        </w:rPr>
        <w:t xml:space="preserve"> Ben</w:t>
      </w:r>
      <w:r>
        <w:rPr>
          <w:rFonts w:eastAsia="Arial Unicode MS" w:cs="Arial"/>
          <w:sz w:val="26"/>
          <w:szCs w:val="26"/>
        </w:rPr>
        <w:t>jamin, 2ª  Turma</w:t>
      </w:r>
      <w:r w:rsidRPr="004F3AE9">
        <w:rPr>
          <w:rFonts w:eastAsia="Arial Unicode MS" w:cs="Arial"/>
          <w:sz w:val="26"/>
          <w:szCs w:val="26"/>
        </w:rPr>
        <w:t>:</w:t>
      </w:r>
    </w:p>
    <w:p w:rsidR="007E73BF" w:rsidRDefault="007E73BF" w:rsidP="007E73BF">
      <w:pPr>
        <w:pStyle w:val="citao"/>
      </w:pPr>
      <w:r>
        <w:t>...</w:t>
      </w:r>
    </w:p>
    <w:p w:rsidR="007E73BF" w:rsidRPr="00F11CEB" w:rsidRDefault="007E73BF" w:rsidP="007E73BF">
      <w:pPr>
        <w:pStyle w:val="citao"/>
      </w:pPr>
      <w:r w:rsidRPr="00F11CEB">
        <w:t xml:space="preserve">1. É pacífico no STJ o entendimento de que o </w:t>
      </w:r>
      <w:r w:rsidRPr="00F11CEB">
        <w:rPr>
          <w:b/>
        </w:rPr>
        <w:t>salário-maternidade</w:t>
      </w:r>
      <w:r w:rsidRPr="00F11CEB">
        <w:t xml:space="preserve"> não tem natureza indenizatória, mas sim remuneratória, razão pela qual integra a base de cálculo da contribuição previdenciária.</w:t>
      </w:r>
    </w:p>
    <w:p w:rsidR="007E73BF" w:rsidRDefault="007E73BF" w:rsidP="007E73BF">
      <w:pPr>
        <w:pStyle w:val="citao"/>
      </w:pPr>
    </w:p>
    <w:p w:rsidR="007E73BF" w:rsidRDefault="007E73BF" w:rsidP="007E73BF">
      <w:pPr>
        <w:pStyle w:val="citao"/>
      </w:pPr>
      <w:r>
        <w:lastRenderedPageBreak/>
        <w:t xml:space="preserve">2. O </w:t>
      </w:r>
      <w:r w:rsidRPr="004F3AE9">
        <w:rPr>
          <w:b/>
        </w:rPr>
        <w:t>pagamento de férias gozadas</w:t>
      </w:r>
      <w:r>
        <w:t xml:space="preserve"> possui natureza remuneratória e salarial, nos termos do art. 148 da CLT, e integra o salário de contribuição. Saliente-se que não se discute, no apelo, a incidência da contribuição sobre o terço constitucional.</w:t>
      </w:r>
    </w:p>
    <w:p w:rsidR="007E73BF" w:rsidRPr="00CC1B96" w:rsidRDefault="007E73BF" w:rsidP="007E73BF">
      <w:pPr>
        <w:pStyle w:val="citao"/>
      </w:pPr>
      <w:r>
        <w:t>...</w:t>
      </w:r>
    </w:p>
    <w:p w:rsidR="007E73BF" w:rsidRDefault="007E73BF" w:rsidP="007E73BF">
      <w:pPr>
        <w:pStyle w:val="Pargrafo"/>
        <w:spacing w:before="0" w:after="0" w:line="360" w:lineRule="exact"/>
        <w:ind w:right="-79" w:firstLine="539"/>
        <w:rPr>
          <w:b/>
          <w:sz w:val="20"/>
          <w:szCs w:val="22"/>
        </w:rPr>
      </w:pPr>
    </w:p>
    <w:p w:rsidR="007E73BF" w:rsidRDefault="007E73BF" w:rsidP="007E73BF">
      <w:pPr>
        <w:pStyle w:val="Pargrafo"/>
        <w:spacing w:before="0" w:after="0" w:line="360" w:lineRule="exact"/>
        <w:ind w:right="-79" w:firstLine="539"/>
        <w:rPr>
          <w:bCs/>
          <w:snapToGrid w:val="0"/>
          <w:sz w:val="26"/>
          <w:szCs w:val="26"/>
        </w:rPr>
      </w:pPr>
      <w:r w:rsidRPr="008634BD">
        <w:rPr>
          <w:b/>
          <w:i/>
          <w:sz w:val="26"/>
          <w:szCs w:val="26"/>
        </w:rPr>
        <w:t xml:space="preserve">Compensação. </w:t>
      </w:r>
      <w:r w:rsidRPr="00F331A8">
        <w:rPr>
          <w:snapToGrid w:val="0"/>
          <w:sz w:val="26"/>
          <w:szCs w:val="26"/>
        </w:rPr>
        <w:t xml:space="preserve">É vedada </w:t>
      </w:r>
      <w:r w:rsidRPr="00F331A8">
        <w:rPr>
          <w:b/>
          <w:i/>
          <w:snapToGrid w:val="0"/>
          <w:sz w:val="26"/>
          <w:szCs w:val="26"/>
        </w:rPr>
        <w:t>antes</w:t>
      </w:r>
      <w:r>
        <w:rPr>
          <w:snapToGrid w:val="0"/>
          <w:sz w:val="26"/>
          <w:szCs w:val="26"/>
        </w:rPr>
        <w:t xml:space="preserve"> do trânsito em julgado </w:t>
      </w:r>
      <w:r w:rsidRPr="00F331A8">
        <w:rPr>
          <w:snapToGrid w:val="0"/>
          <w:sz w:val="26"/>
          <w:szCs w:val="26"/>
        </w:rPr>
        <w:t xml:space="preserve">(CTN, </w:t>
      </w:r>
      <w:r>
        <w:rPr>
          <w:snapToGrid w:val="0"/>
          <w:sz w:val="26"/>
          <w:szCs w:val="26"/>
        </w:rPr>
        <w:t xml:space="preserve">art. </w:t>
      </w:r>
      <w:r w:rsidRPr="00F331A8">
        <w:rPr>
          <w:snapToGrid w:val="0"/>
          <w:sz w:val="26"/>
          <w:szCs w:val="26"/>
        </w:rPr>
        <w:t xml:space="preserve">170-A), conforme </w:t>
      </w:r>
      <w:r>
        <w:rPr>
          <w:snapToGrid w:val="0"/>
          <w:sz w:val="26"/>
          <w:szCs w:val="26"/>
        </w:rPr>
        <w:t>orientação d</w:t>
      </w:r>
      <w:r w:rsidRPr="00F331A8">
        <w:rPr>
          <w:snapToGrid w:val="0"/>
          <w:sz w:val="26"/>
          <w:szCs w:val="26"/>
        </w:rPr>
        <w:t>o Superior Tribunal de Justiça em recurso representativo da controvérsia (</w:t>
      </w:r>
      <w:proofErr w:type="spellStart"/>
      <w:proofErr w:type="gramStart"/>
      <w:r w:rsidRPr="00F331A8">
        <w:rPr>
          <w:sz w:val="26"/>
          <w:szCs w:val="26"/>
        </w:rPr>
        <w:t>REsp</w:t>
      </w:r>
      <w:proofErr w:type="spellEnd"/>
      <w:proofErr w:type="gramEnd"/>
      <w:r w:rsidRPr="00F331A8">
        <w:rPr>
          <w:sz w:val="26"/>
          <w:szCs w:val="26"/>
        </w:rPr>
        <w:t xml:space="preserve"> 1.164.452-MG). </w:t>
      </w:r>
      <w:r w:rsidRPr="00F331A8">
        <w:rPr>
          <w:bCs/>
          <w:snapToGrid w:val="0"/>
          <w:sz w:val="26"/>
          <w:szCs w:val="26"/>
        </w:rPr>
        <w:t xml:space="preserve">A </w:t>
      </w:r>
      <w:r>
        <w:rPr>
          <w:bCs/>
          <w:snapToGrid w:val="0"/>
          <w:sz w:val="26"/>
          <w:szCs w:val="26"/>
        </w:rPr>
        <w:t xml:space="preserve">7ª Turma, na </w:t>
      </w:r>
      <w:r w:rsidRPr="00F331A8">
        <w:rPr>
          <w:bCs/>
          <w:snapToGrid w:val="0"/>
          <w:sz w:val="26"/>
          <w:szCs w:val="26"/>
        </w:rPr>
        <w:t xml:space="preserve">AMS 2009.34.00.041932-0-DF, </w:t>
      </w:r>
      <w:proofErr w:type="spellStart"/>
      <w:proofErr w:type="gramStart"/>
      <w:r w:rsidRPr="00F331A8">
        <w:rPr>
          <w:bCs/>
          <w:snapToGrid w:val="0"/>
          <w:sz w:val="26"/>
          <w:szCs w:val="26"/>
        </w:rPr>
        <w:t>r.</w:t>
      </w:r>
      <w:proofErr w:type="spellEnd"/>
      <w:proofErr w:type="gramEnd"/>
      <w:r w:rsidRPr="00F331A8">
        <w:rPr>
          <w:bCs/>
          <w:snapToGrid w:val="0"/>
          <w:sz w:val="26"/>
          <w:szCs w:val="26"/>
        </w:rPr>
        <w:t xml:space="preserve"> Desembargador Federal </w:t>
      </w:r>
      <w:r w:rsidRPr="00F331A8">
        <w:rPr>
          <w:bCs/>
          <w:i/>
          <w:snapToGrid w:val="0"/>
          <w:sz w:val="26"/>
          <w:szCs w:val="26"/>
        </w:rPr>
        <w:t>Reynaldo Fonsec</w:t>
      </w:r>
      <w:r w:rsidRPr="00F331A8">
        <w:rPr>
          <w:bCs/>
          <w:snapToGrid w:val="0"/>
          <w:sz w:val="26"/>
          <w:szCs w:val="26"/>
        </w:rPr>
        <w:t xml:space="preserve">a, também  decidiu que: </w:t>
      </w:r>
    </w:p>
    <w:p w:rsidR="007E73BF" w:rsidRDefault="007E73BF" w:rsidP="007E73BF">
      <w:pPr>
        <w:pStyle w:val="citao"/>
      </w:pPr>
      <w:r>
        <w:t>...</w:t>
      </w:r>
    </w:p>
    <w:p w:rsidR="007E73BF" w:rsidRDefault="007E73BF" w:rsidP="007E73BF">
      <w:pPr>
        <w:pStyle w:val="citao"/>
      </w:pPr>
      <w:smartTag w:uri="urn:schemas-microsoft-com:office:smarttags" w:element="metricconverter">
        <w:smartTagPr>
          <w:attr w:name="ProductID" w:val="9. A"/>
        </w:smartTagPr>
        <w:r>
          <w:t>9. A</w:t>
        </w:r>
      </w:smartTag>
      <w:r>
        <w:t xml:space="preserve"> </w:t>
      </w:r>
      <w:r w:rsidRPr="00A4639E">
        <w:rPr>
          <w:b/>
        </w:rPr>
        <w:t>compensação</w:t>
      </w:r>
      <w:r>
        <w:t xml:space="preserve"> somente poderá ser efetivada </w:t>
      </w:r>
      <w:r w:rsidRPr="00A4639E">
        <w:rPr>
          <w:b/>
        </w:rPr>
        <w:t>após o trânsito em julgado da decisão</w:t>
      </w:r>
      <w:r w:rsidRPr="00A4639E">
        <w:t>, nos termos da disposição contida no</w:t>
      </w:r>
      <w:r w:rsidRPr="00A4639E">
        <w:rPr>
          <w:b/>
        </w:rPr>
        <w:t xml:space="preserve"> art. 170-A do CTN</w:t>
      </w:r>
      <w:r>
        <w:t xml:space="preserve"> (introduzida pela Lei Complementar nº 104/01), exigência que também alcança as situações em que o STF já tenha declarado a inconstitucionalidade de tributo/contribuição. Precedentes do STJ: (</w:t>
      </w:r>
      <w:proofErr w:type="spellStart"/>
      <w:proofErr w:type="gramStart"/>
      <w:r>
        <w:t>AgRg</w:t>
      </w:r>
      <w:proofErr w:type="spellEnd"/>
      <w:proofErr w:type="gramEnd"/>
      <w:r>
        <w:t xml:space="preserve"> no </w:t>
      </w:r>
      <w:proofErr w:type="spellStart"/>
      <w:r>
        <w:t>REsp</w:t>
      </w:r>
      <w:proofErr w:type="spellEnd"/>
      <w:r>
        <w:t xml:space="preserve"> 739.039/PR, Rel. Ministro  HUMBERTO MARTINS, SEGUNDA TURMA, julgado em 27/11/2007, DJ 06/12/2007 p. 301).</w:t>
      </w:r>
    </w:p>
    <w:p w:rsidR="007E73BF" w:rsidRDefault="007E73BF" w:rsidP="007E73BF">
      <w:pPr>
        <w:pStyle w:val="citao"/>
      </w:pPr>
    </w:p>
    <w:p w:rsidR="007E73BF" w:rsidRDefault="007E73BF" w:rsidP="007E73BF">
      <w:pPr>
        <w:pStyle w:val="citao"/>
      </w:pPr>
      <w:r>
        <w:t xml:space="preserve">10. </w:t>
      </w:r>
      <w:r w:rsidRPr="00A4639E">
        <w:t>Possibilidade de</w:t>
      </w:r>
      <w:r w:rsidRPr="00A4639E">
        <w:rPr>
          <w:b/>
        </w:rPr>
        <w:t xml:space="preserve"> compensação somente com contribuições destinadas ao custeio da Seguridade Social</w:t>
      </w:r>
      <w:r>
        <w:t>, nos termos da Lei nº 11.457/07, art. 26, parágrafo único.</w:t>
      </w:r>
    </w:p>
    <w:p w:rsidR="007E73BF" w:rsidRDefault="007E73BF" w:rsidP="007E73BF">
      <w:pPr>
        <w:pStyle w:val="citao"/>
      </w:pPr>
    </w:p>
    <w:p w:rsidR="007E73BF" w:rsidRDefault="007E73BF" w:rsidP="007E73BF">
      <w:pPr>
        <w:pStyle w:val="citao"/>
      </w:pPr>
      <w:r>
        <w:t xml:space="preserve">11. A correção monetária deverá incidir sobre os valores desde os recolhimentos indevidos, em decorrência da Súmula nº 162 do STJ, com a utilização dos índices instituídos por lei. No caso deve </w:t>
      </w:r>
      <w:r w:rsidRPr="00A4639E">
        <w:rPr>
          <w:b/>
        </w:rPr>
        <w:t>incidir a Taxa SELIC</w:t>
      </w:r>
      <w:r>
        <w:t xml:space="preserve">, aplicável a partir de 1º/01/96, </w:t>
      </w:r>
      <w:r w:rsidRPr="00A4639E">
        <w:rPr>
          <w:b/>
        </w:rPr>
        <w:t>excluindo-se qualquer índice de correção monetária ou juros de mora</w:t>
      </w:r>
      <w:r>
        <w:t xml:space="preserve"> (art. 39, § 4º, da Lei nº 9.250/95).</w:t>
      </w:r>
    </w:p>
    <w:p w:rsidR="007E73BF" w:rsidRPr="000500F1" w:rsidRDefault="007E73BF" w:rsidP="007E73BF">
      <w:pPr>
        <w:pStyle w:val="citao"/>
        <w:rPr>
          <w:rFonts w:cs="Arial"/>
        </w:rPr>
      </w:pPr>
      <w:r>
        <w:t>...</w:t>
      </w:r>
    </w:p>
    <w:p w:rsidR="007E73BF" w:rsidRDefault="007E73BF" w:rsidP="007E73BF">
      <w:pPr>
        <w:pStyle w:val="Pargrafo"/>
        <w:spacing w:before="0" w:after="0" w:line="360" w:lineRule="exact"/>
        <w:ind w:right="-79" w:firstLine="900"/>
        <w:rPr>
          <w:b/>
          <w:szCs w:val="22"/>
        </w:rPr>
      </w:pPr>
    </w:p>
    <w:p w:rsidR="007E73BF" w:rsidRPr="001A1FDB" w:rsidRDefault="007E73BF" w:rsidP="007E73BF">
      <w:pPr>
        <w:pStyle w:val="Pargrafo"/>
        <w:spacing w:before="0" w:line="360" w:lineRule="exact"/>
        <w:ind w:right="-79" w:firstLine="539"/>
        <w:rPr>
          <w:sz w:val="26"/>
          <w:szCs w:val="26"/>
        </w:rPr>
      </w:pPr>
      <w:r>
        <w:rPr>
          <w:sz w:val="26"/>
          <w:szCs w:val="26"/>
        </w:rPr>
        <w:t>A compensação s</w:t>
      </w:r>
      <w:r w:rsidRPr="001A1FDB">
        <w:rPr>
          <w:sz w:val="26"/>
          <w:szCs w:val="26"/>
        </w:rPr>
        <w:t xml:space="preserve">erá realizada de acordo com a lei vigente na época de sua efetivação. Jurisprudência dominante do STJ </w:t>
      </w:r>
      <w:r>
        <w:rPr>
          <w:sz w:val="26"/>
          <w:szCs w:val="26"/>
        </w:rPr>
        <w:t xml:space="preserve">no </w:t>
      </w:r>
      <w:proofErr w:type="spellStart"/>
      <w:proofErr w:type="gramStart"/>
      <w:r w:rsidRPr="001A1FDB">
        <w:rPr>
          <w:sz w:val="26"/>
          <w:szCs w:val="26"/>
        </w:rPr>
        <w:t>REsp</w:t>
      </w:r>
      <w:proofErr w:type="spellEnd"/>
      <w:proofErr w:type="gramEnd"/>
      <w:r w:rsidRPr="001A1FDB">
        <w:rPr>
          <w:sz w:val="26"/>
          <w:szCs w:val="26"/>
        </w:rPr>
        <w:t xml:space="preserve"> 1.164.452-MG,  representativo da controvérsia, </w:t>
      </w:r>
      <w:proofErr w:type="spellStart"/>
      <w:r w:rsidRPr="001A1FDB">
        <w:rPr>
          <w:sz w:val="26"/>
          <w:szCs w:val="26"/>
        </w:rPr>
        <w:t>r.</w:t>
      </w:r>
      <w:proofErr w:type="spellEnd"/>
      <w:r w:rsidRPr="001A1FDB">
        <w:rPr>
          <w:sz w:val="26"/>
          <w:szCs w:val="26"/>
        </w:rPr>
        <w:t xml:space="preserve">  Ministro  </w:t>
      </w:r>
      <w:proofErr w:type="spellStart"/>
      <w:r w:rsidRPr="002E11E9">
        <w:rPr>
          <w:i/>
          <w:sz w:val="26"/>
          <w:szCs w:val="26"/>
        </w:rPr>
        <w:t>Teori</w:t>
      </w:r>
      <w:proofErr w:type="spellEnd"/>
      <w:r w:rsidRPr="002E11E9">
        <w:rPr>
          <w:i/>
          <w:sz w:val="26"/>
          <w:szCs w:val="26"/>
        </w:rPr>
        <w:t xml:space="preserve"> Albino </w:t>
      </w:r>
      <w:proofErr w:type="spellStart"/>
      <w:r w:rsidRPr="002E11E9">
        <w:rPr>
          <w:i/>
          <w:sz w:val="26"/>
          <w:szCs w:val="26"/>
        </w:rPr>
        <w:t>Zavaski</w:t>
      </w:r>
      <w:proofErr w:type="spellEnd"/>
      <w:r>
        <w:rPr>
          <w:sz w:val="26"/>
          <w:szCs w:val="26"/>
        </w:rPr>
        <w:t>,  1ª  Seção  em 25/08/2010:</w:t>
      </w:r>
    </w:p>
    <w:p w:rsidR="007E73BF" w:rsidRDefault="007E73BF" w:rsidP="007E73BF">
      <w:pPr>
        <w:pStyle w:val="Pr-formataoHTML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...</w:t>
      </w:r>
    </w:p>
    <w:p w:rsidR="007E73BF" w:rsidRPr="00B77F06" w:rsidRDefault="007E73BF" w:rsidP="007E73BF">
      <w:pPr>
        <w:pStyle w:val="Pr-formataoHTML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00" w:lineRule="exact"/>
        <w:ind w:left="709"/>
        <w:jc w:val="both"/>
        <w:rPr>
          <w:rFonts w:ascii="Arial" w:hAnsi="Arial" w:cs="Arial"/>
          <w:sz w:val="22"/>
          <w:szCs w:val="22"/>
        </w:rPr>
      </w:pPr>
      <w:r w:rsidRPr="00B77F06">
        <w:rPr>
          <w:rFonts w:ascii="Arial" w:hAnsi="Arial" w:cs="Arial"/>
          <w:sz w:val="22"/>
          <w:szCs w:val="22"/>
        </w:rPr>
        <w:t>1. A lei que regula a compensação tributária é a vigente à data do encontro de contas entre os recíprocos débito e crédito da Fazenda e do contribuinte. Precedentes.</w:t>
      </w:r>
    </w:p>
    <w:p w:rsidR="007E73BF" w:rsidRDefault="007E73BF" w:rsidP="007E73BF">
      <w:pPr>
        <w:pStyle w:val="Pr-formataoHTML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00" w:lineRule="exact"/>
        <w:ind w:left="709"/>
        <w:jc w:val="both"/>
        <w:rPr>
          <w:rFonts w:ascii="Arial" w:hAnsi="Arial" w:cs="Arial"/>
          <w:sz w:val="22"/>
          <w:szCs w:val="22"/>
        </w:rPr>
      </w:pPr>
      <w:r w:rsidRPr="00B77F06">
        <w:rPr>
          <w:rFonts w:ascii="Arial" w:hAnsi="Arial" w:cs="Arial"/>
          <w:sz w:val="22"/>
          <w:szCs w:val="22"/>
        </w:rPr>
        <w:t>2. Em se tratando de compensação de crédito objeto de controvérsia judicial, é vedada a sua realização "antes do trânsito em julgado da respectiva decisão judicial", conforme prevê o art. 170-A do CTN, vedação que, todavia, não se aplica a ações judiciais propostas em data anterior à vigência desse dispositivo, introduzido pela LC 104/2001. Precedentes.</w:t>
      </w:r>
    </w:p>
    <w:p w:rsidR="007E73BF" w:rsidRDefault="007E73BF" w:rsidP="007E73BF">
      <w:pPr>
        <w:pStyle w:val="Pr-formataoHTML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00" w:lineRule="exact"/>
        <w:ind w:left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...</w:t>
      </w:r>
    </w:p>
    <w:p w:rsidR="007E73BF" w:rsidRDefault="007E73BF" w:rsidP="007E73BF">
      <w:pPr>
        <w:spacing w:after="120" w:line="380" w:lineRule="exact"/>
        <w:ind w:firstLine="709"/>
        <w:jc w:val="both"/>
      </w:pPr>
    </w:p>
    <w:p w:rsidR="007E73BF" w:rsidRDefault="007E73BF" w:rsidP="007E73BF">
      <w:pPr>
        <w:autoSpaceDE w:val="0"/>
        <w:autoSpaceDN w:val="0"/>
        <w:adjustRightInd w:val="0"/>
        <w:spacing w:line="360" w:lineRule="exact"/>
        <w:ind w:firstLine="709"/>
        <w:jc w:val="both"/>
      </w:pPr>
      <w:r>
        <w:t xml:space="preserve">Em outro precedente do STJ, nos </w:t>
      </w:r>
      <w:proofErr w:type="spellStart"/>
      <w:proofErr w:type="gramStart"/>
      <w:r>
        <w:t>EDcl</w:t>
      </w:r>
      <w:proofErr w:type="spellEnd"/>
      <w:proofErr w:type="gramEnd"/>
      <w:r>
        <w:t xml:space="preserve"> no </w:t>
      </w:r>
      <w:proofErr w:type="spellStart"/>
      <w:r>
        <w:t>REsp</w:t>
      </w:r>
      <w:proofErr w:type="spellEnd"/>
      <w:r>
        <w:t xml:space="preserve"> 835.774-SP, </w:t>
      </w:r>
      <w:proofErr w:type="spellStart"/>
      <w:r>
        <w:t>r.</w:t>
      </w:r>
      <w:proofErr w:type="spellEnd"/>
      <w:r>
        <w:t xml:space="preserve"> Ministro Luiz </w:t>
      </w:r>
      <w:proofErr w:type="spellStart"/>
      <w:r>
        <w:t>Fux</w:t>
      </w:r>
      <w:proofErr w:type="spellEnd"/>
      <w:r>
        <w:t>, 1ª Turma em 18/11/2010,  prevaleceu o seguinte entendimento adotado pelo relator:</w:t>
      </w:r>
    </w:p>
    <w:p w:rsidR="007E73BF" w:rsidRDefault="007E73BF" w:rsidP="007E73BF">
      <w:pPr>
        <w:pStyle w:val="citao"/>
      </w:pPr>
      <w:r w:rsidRPr="00F44D55">
        <w:t>“- O artigo 170 dá ampla liberdade ao legislador para que</w:t>
      </w:r>
      <w:r>
        <w:t xml:space="preserve"> </w:t>
      </w:r>
      <w:r w:rsidRPr="00F44D55">
        <w:t xml:space="preserve">estabeleça as condições e a forma como se dará a compensação. </w:t>
      </w:r>
      <w:r w:rsidRPr="00F44D55">
        <w:rPr>
          <w:bCs/>
        </w:rPr>
        <w:t xml:space="preserve">O estabelecimento de limites é válido. Se o </w:t>
      </w:r>
      <w:r w:rsidRPr="00F44D55">
        <w:rPr>
          <w:bCs/>
        </w:rPr>
        <w:lastRenderedPageBreak/>
        <w:t>contribuinte tiver interesse em efetuar a compensação conforme a autorização legal, o fará; caso contrário, pode optar pela repetição do indébito tributário.</w:t>
      </w:r>
      <w:r>
        <w:rPr>
          <w:b/>
          <w:bCs/>
        </w:rPr>
        <w:t xml:space="preserve"> </w:t>
      </w:r>
      <w:r w:rsidRPr="00F44D55">
        <w:t>Ademais, impende considerar que a compensação é modo de extinção</w:t>
      </w:r>
      <w:r>
        <w:t xml:space="preserve"> </w:t>
      </w:r>
      <w:r w:rsidRPr="00F44D55">
        <w:t xml:space="preserve">do crédito tributário </w:t>
      </w:r>
      <w:r w:rsidRPr="00F44D55">
        <w:rPr>
          <w:b/>
          <w:i/>
        </w:rPr>
        <w:t>e que deve observar a legislação vigente quando se pretende realizar o acerto entre créditos e débitos</w:t>
      </w:r>
      <w:r w:rsidRPr="00F44D55">
        <w:t>. Assim,</w:t>
      </w:r>
      <w:r>
        <w:t xml:space="preserve"> </w:t>
      </w:r>
      <w:r w:rsidRPr="00F44D55">
        <w:t>independentemente da data do indébito ou da sua razão, a</w:t>
      </w:r>
      <w:r>
        <w:t xml:space="preserve"> </w:t>
      </w:r>
      <w:r w:rsidRPr="00F44D55">
        <w:t>compensação deveria observar os limites vigentes quando da sua</w:t>
      </w:r>
      <w:r>
        <w:t xml:space="preserve"> </w:t>
      </w:r>
      <w:r w:rsidRPr="00F44D55">
        <w:t>realização.</w:t>
      </w:r>
    </w:p>
    <w:p w:rsidR="007E73BF" w:rsidRPr="00F44D55" w:rsidRDefault="007E73BF" w:rsidP="007E73BF">
      <w:pPr>
        <w:pStyle w:val="citao"/>
      </w:pPr>
      <w:proofErr w:type="gramStart"/>
      <w:r>
        <w:t>...”</w:t>
      </w:r>
      <w:proofErr w:type="gramEnd"/>
    </w:p>
    <w:p w:rsidR="007E73BF" w:rsidRDefault="007E73BF" w:rsidP="007E73BF">
      <w:pPr>
        <w:pStyle w:val="Pargrafo"/>
        <w:spacing w:before="0" w:after="0" w:line="360" w:lineRule="exact"/>
        <w:ind w:firstLine="540"/>
        <w:rPr>
          <w:b/>
          <w:i/>
          <w:sz w:val="26"/>
          <w:szCs w:val="26"/>
        </w:rPr>
      </w:pPr>
    </w:p>
    <w:p w:rsidR="007E73BF" w:rsidRPr="0038174A" w:rsidRDefault="007E73BF" w:rsidP="007E73BF">
      <w:pPr>
        <w:pStyle w:val="Pargrafo"/>
        <w:spacing w:before="0" w:after="0" w:line="360" w:lineRule="exact"/>
        <w:ind w:firstLine="709"/>
        <w:rPr>
          <w:sz w:val="26"/>
          <w:szCs w:val="26"/>
        </w:rPr>
      </w:pPr>
      <w:r w:rsidRPr="00CA2E20">
        <w:rPr>
          <w:b/>
          <w:i/>
          <w:sz w:val="26"/>
        </w:rPr>
        <w:t xml:space="preserve">Restrições administrativas (autuações fiscais, negativas de expedição de </w:t>
      </w:r>
      <w:proofErr w:type="spellStart"/>
      <w:r w:rsidRPr="00CA2E20">
        <w:rPr>
          <w:b/>
          <w:i/>
          <w:sz w:val="26"/>
        </w:rPr>
        <w:t>cnds</w:t>
      </w:r>
      <w:proofErr w:type="spellEnd"/>
      <w:r w:rsidRPr="00CA2E20">
        <w:rPr>
          <w:b/>
          <w:i/>
          <w:sz w:val="26"/>
        </w:rPr>
        <w:t xml:space="preserve">, inscrição no </w:t>
      </w:r>
      <w:proofErr w:type="spellStart"/>
      <w:r w:rsidRPr="00CA2E20">
        <w:rPr>
          <w:b/>
          <w:i/>
          <w:sz w:val="26"/>
        </w:rPr>
        <w:t>cadin</w:t>
      </w:r>
      <w:proofErr w:type="spellEnd"/>
      <w:r w:rsidRPr="00CA2E20">
        <w:rPr>
          <w:b/>
          <w:i/>
          <w:sz w:val="26"/>
        </w:rPr>
        <w:t>).</w:t>
      </w:r>
      <w:r w:rsidRPr="00E359CE">
        <w:rPr>
          <w:b/>
          <w:sz w:val="26"/>
        </w:rPr>
        <w:t xml:space="preserve"> </w:t>
      </w:r>
      <w:r w:rsidRPr="00E359CE">
        <w:rPr>
          <w:sz w:val="32"/>
          <w:szCs w:val="26"/>
        </w:rPr>
        <w:t xml:space="preserve">  </w:t>
      </w:r>
      <w:r>
        <w:rPr>
          <w:sz w:val="26"/>
          <w:szCs w:val="26"/>
        </w:rPr>
        <w:t>Declarada a inexigibilidade do tributo em favor da impetrante, eventuais restrições administrativas constituem incidentes na execução do julgado,</w:t>
      </w:r>
      <w:proofErr w:type="gramStart"/>
      <w:r>
        <w:rPr>
          <w:sz w:val="26"/>
          <w:szCs w:val="26"/>
        </w:rPr>
        <w:t xml:space="preserve">  </w:t>
      </w:r>
      <w:proofErr w:type="gramEnd"/>
      <w:r>
        <w:rPr>
          <w:sz w:val="26"/>
          <w:szCs w:val="26"/>
        </w:rPr>
        <w:t xml:space="preserve">cabendo ao juízo de origem resolver.  Não tem sentido a apelação da impetrante para isso. </w:t>
      </w:r>
    </w:p>
    <w:p w:rsidR="007E73BF" w:rsidRDefault="007E73BF" w:rsidP="007E73BF">
      <w:pPr>
        <w:pStyle w:val="Identificao"/>
        <w:spacing w:line="360" w:lineRule="exact"/>
        <w:ind w:firstLine="840"/>
        <w:rPr>
          <w:b/>
          <w:sz w:val="26"/>
          <w:szCs w:val="26"/>
        </w:rPr>
      </w:pPr>
    </w:p>
    <w:p w:rsidR="007E73BF" w:rsidRDefault="007E73BF" w:rsidP="007E73BF">
      <w:pPr>
        <w:pStyle w:val="ementa"/>
        <w:spacing w:before="0" w:after="0" w:line="360" w:lineRule="exact"/>
        <w:ind w:right="-79" w:firstLine="709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DISPOSITIVO</w:t>
      </w:r>
    </w:p>
    <w:p w:rsidR="007E73BF" w:rsidRPr="0080708C" w:rsidRDefault="007E73BF" w:rsidP="007E73BF">
      <w:pPr>
        <w:pStyle w:val="ementa"/>
        <w:spacing w:before="0" w:after="0" w:line="360" w:lineRule="exact"/>
        <w:ind w:right="-79" w:firstLine="709"/>
        <w:rPr>
          <w:i/>
          <w:sz w:val="26"/>
          <w:szCs w:val="26"/>
        </w:rPr>
      </w:pPr>
      <w:r w:rsidRPr="00E119DB">
        <w:rPr>
          <w:b/>
          <w:i/>
          <w:sz w:val="26"/>
          <w:szCs w:val="26"/>
        </w:rPr>
        <w:t>Dou parcial provimento</w:t>
      </w:r>
      <w:r w:rsidRPr="0080708C">
        <w:rPr>
          <w:i/>
          <w:sz w:val="26"/>
          <w:szCs w:val="26"/>
        </w:rPr>
        <w:t>:</w:t>
      </w:r>
    </w:p>
    <w:p w:rsidR="007E73BF" w:rsidRDefault="007E73BF" w:rsidP="007E73BF">
      <w:pPr>
        <w:pStyle w:val="ementa"/>
        <w:spacing w:before="0" w:after="0" w:line="360" w:lineRule="exact"/>
        <w:ind w:right="-79" w:firstLine="709"/>
        <w:rPr>
          <w:sz w:val="26"/>
          <w:szCs w:val="26"/>
        </w:rPr>
      </w:pPr>
      <w:r w:rsidRPr="0080708C">
        <w:rPr>
          <w:i/>
          <w:sz w:val="26"/>
          <w:szCs w:val="26"/>
        </w:rPr>
        <w:t>-</w:t>
      </w:r>
      <w:proofErr w:type="gramStart"/>
      <w:r w:rsidRPr="0080708C">
        <w:rPr>
          <w:i/>
          <w:sz w:val="26"/>
          <w:szCs w:val="26"/>
        </w:rPr>
        <w:t xml:space="preserve"> </w:t>
      </w:r>
      <w:r>
        <w:rPr>
          <w:sz w:val="26"/>
          <w:szCs w:val="26"/>
        </w:rPr>
        <w:t xml:space="preserve"> </w:t>
      </w:r>
      <w:proofErr w:type="gramEnd"/>
      <w:r>
        <w:rPr>
          <w:sz w:val="26"/>
          <w:szCs w:val="26"/>
        </w:rPr>
        <w:t xml:space="preserve">à apelação da impetrante para desobrigá-la de recolher a contribuição previdenciária sobre o terço constitucional de férias; e </w:t>
      </w:r>
    </w:p>
    <w:p w:rsidR="007E73BF" w:rsidRPr="000C5090" w:rsidRDefault="007E73BF" w:rsidP="007E73BF">
      <w:pPr>
        <w:pStyle w:val="ementa"/>
        <w:spacing w:before="0" w:after="0" w:line="360" w:lineRule="exact"/>
        <w:ind w:right="-79" w:firstLine="709"/>
        <w:rPr>
          <w:bCs/>
          <w:snapToGrid w:val="0"/>
          <w:sz w:val="26"/>
          <w:szCs w:val="26"/>
        </w:rPr>
      </w:pPr>
      <w:r>
        <w:rPr>
          <w:sz w:val="26"/>
          <w:szCs w:val="26"/>
        </w:rPr>
        <w:t xml:space="preserve">- à apelação da União e à remessa de ofício para limitar a </w:t>
      </w:r>
      <w:r w:rsidRPr="000C5090">
        <w:rPr>
          <w:sz w:val="26"/>
          <w:szCs w:val="26"/>
        </w:rPr>
        <w:t>compensação do indébito tributário aos cinco a</w:t>
      </w:r>
      <w:r>
        <w:rPr>
          <w:sz w:val="26"/>
          <w:szCs w:val="26"/>
        </w:rPr>
        <w:t>nos anteriores ao ajuizamento da ação</w:t>
      </w:r>
      <w:r w:rsidRPr="000C5090">
        <w:rPr>
          <w:bCs/>
          <w:snapToGrid w:val="0"/>
          <w:sz w:val="26"/>
          <w:szCs w:val="26"/>
        </w:rPr>
        <w:t>. Mantida a sentença nos demais pontos.</w:t>
      </w:r>
    </w:p>
    <w:p w:rsidR="007E73BF" w:rsidRPr="000C5090" w:rsidRDefault="007E73BF" w:rsidP="007E73BF">
      <w:pPr>
        <w:pStyle w:val="centralizar"/>
        <w:spacing w:before="0" w:after="0" w:line="360" w:lineRule="exact"/>
        <w:ind w:right="-79" w:firstLine="709"/>
        <w:rPr>
          <w:sz w:val="26"/>
          <w:szCs w:val="26"/>
        </w:rPr>
      </w:pPr>
    </w:p>
    <w:p w:rsidR="007E73BF" w:rsidRPr="000C5090" w:rsidRDefault="007E73BF" w:rsidP="007E73BF">
      <w:pPr>
        <w:widowControl w:val="0"/>
        <w:spacing w:line="360" w:lineRule="exact"/>
        <w:ind w:firstLine="709"/>
        <w:jc w:val="both"/>
        <w:rPr>
          <w:rFonts w:cs="Arial"/>
          <w:szCs w:val="26"/>
        </w:rPr>
      </w:pPr>
      <w:r w:rsidRPr="000C5090">
        <w:rPr>
          <w:rFonts w:cs="Arial"/>
          <w:szCs w:val="26"/>
        </w:rPr>
        <w:t>Brasília, 03</w:t>
      </w:r>
      <w:r>
        <w:rPr>
          <w:rFonts w:cs="Arial"/>
          <w:szCs w:val="26"/>
        </w:rPr>
        <w:t>.</w:t>
      </w:r>
      <w:r w:rsidRPr="000C5090">
        <w:rPr>
          <w:rFonts w:cs="Arial"/>
          <w:szCs w:val="26"/>
        </w:rPr>
        <w:t>05</w:t>
      </w:r>
      <w:r>
        <w:rPr>
          <w:rFonts w:cs="Arial"/>
          <w:szCs w:val="26"/>
        </w:rPr>
        <w:t>.</w:t>
      </w:r>
      <w:r w:rsidRPr="000C5090">
        <w:rPr>
          <w:rFonts w:cs="Arial"/>
          <w:szCs w:val="26"/>
        </w:rPr>
        <w:t>2013</w:t>
      </w:r>
    </w:p>
    <w:p w:rsidR="007E73BF" w:rsidRPr="000C5090" w:rsidRDefault="007E73BF" w:rsidP="007E73BF">
      <w:pPr>
        <w:widowControl w:val="0"/>
        <w:spacing w:line="360" w:lineRule="exact"/>
        <w:ind w:firstLine="709"/>
        <w:jc w:val="both"/>
        <w:rPr>
          <w:rFonts w:cs="Arial"/>
          <w:szCs w:val="26"/>
        </w:rPr>
      </w:pPr>
    </w:p>
    <w:p w:rsidR="007E73BF" w:rsidRPr="000C5090" w:rsidRDefault="007E73BF" w:rsidP="007E73BF">
      <w:pPr>
        <w:widowControl w:val="0"/>
        <w:spacing w:line="360" w:lineRule="exact"/>
        <w:ind w:firstLine="709"/>
        <w:jc w:val="both"/>
        <w:rPr>
          <w:b/>
          <w:szCs w:val="26"/>
        </w:rPr>
      </w:pPr>
      <w:r w:rsidRPr="000C5090">
        <w:rPr>
          <w:b/>
          <w:szCs w:val="26"/>
        </w:rPr>
        <w:t>NOVÉLY VILANOVA DA SILVA REIS</w:t>
      </w:r>
    </w:p>
    <w:p w:rsidR="007E73BF" w:rsidRPr="000C5090" w:rsidRDefault="007E73BF" w:rsidP="007E73BF">
      <w:pPr>
        <w:widowControl w:val="0"/>
        <w:spacing w:line="360" w:lineRule="exact"/>
        <w:ind w:firstLine="709"/>
        <w:jc w:val="both"/>
        <w:rPr>
          <w:rFonts w:cs="Arial"/>
          <w:szCs w:val="26"/>
        </w:rPr>
      </w:pPr>
      <w:r w:rsidRPr="000C5090">
        <w:rPr>
          <w:szCs w:val="26"/>
        </w:rPr>
        <w:t>Desembargador Federal Relator</w:t>
      </w:r>
    </w:p>
    <w:sectPr w:rsidR="007E73BF" w:rsidRPr="000C5090" w:rsidSect="004554A7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850" w:right="850" w:bottom="850" w:left="1417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73BF" w:rsidRDefault="007E73BF">
      <w:r>
        <w:separator/>
      </w:r>
    </w:p>
  </w:endnote>
  <w:endnote w:type="continuationSeparator" w:id="1">
    <w:p w:rsidR="007E73BF" w:rsidRDefault="007E73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nsolas">
    <w:panose1 w:val="020B0609020204030204"/>
    <w:charset w:val="00"/>
    <w:family w:val="modern"/>
    <w:pitch w:val="fixed"/>
    <w:sig w:usb0="A00002EF" w:usb1="40002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Interleaved 2of5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</w:pPr>
    <w:r>
      <w:rPr>
        <w:sz w:val="10"/>
      </w:rPr>
      <w:t>TRF 1ª REGIÃO/IMP.15-02-05</w:t>
    </w:r>
    <w:r>
      <w:rPr>
        <w:sz w:val="10"/>
      </w:rPr>
      <w:tab/>
    </w:r>
    <w:r w:rsidR="00404CED">
      <w:rPr>
        <w:sz w:val="10"/>
      </w:rPr>
      <w:fldChar w:fldCharType="begin"/>
    </w:r>
    <w:r>
      <w:rPr>
        <w:sz w:val="10"/>
      </w:rPr>
      <w:instrText xml:space="preserve"> FILENAME \p </w:instrText>
    </w:r>
    <w:r w:rsidR="00404CED">
      <w:rPr>
        <w:sz w:val="10"/>
      </w:rPr>
      <w:fldChar w:fldCharType="separate"/>
    </w:r>
    <w:r w:rsidR="009E4E3A">
      <w:rPr>
        <w:noProof/>
        <w:sz w:val="10"/>
      </w:rPr>
      <w:t>W:\Assessoria\CONTRIBUIÇÃO PREVIDENCIÁRIA\apelação\2013\2158 68 2012 4 01 3807 (15d.ferias ind.terço-seg.parc.apel.partes).docx</w:t>
    </w:r>
    <w:r w:rsidR="00404CED">
      <w:rPr>
        <w:sz w:val="1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  <w:rPr>
        <w:sz w:val="13"/>
      </w:rPr>
    </w:pPr>
    <w:r>
      <w:rPr>
        <w:sz w:val="10"/>
      </w:rPr>
      <w:t>TRF 1ª REGIÃO/IMP.15-02-05</w:t>
    </w:r>
    <w:r>
      <w:rPr>
        <w:sz w:val="10"/>
      </w:rPr>
      <w:tab/>
    </w:r>
    <w:r w:rsidR="00404CED">
      <w:rPr>
        <w:sz w:val="13"/>
      </w:rPr>
      <w:fldChar w:fldCharType="begin"/>
    </w:r>
    <w:r>
      <w:rPr>
        <w:sz w:val="13"/>
      </w:rPr>
      <w:instrText xml:space="preserve"> FILENAME \p </w:instrText>
    </w:r>
    <w:r w:rsidR="00404CED">
      <w:rPr>
        <w:sz w:val="13"/>
      </w:rPr>
      <w:fldChar w:fldCharType="separate"/>
    </w:r>
    <w:r w:rsidR="009E4E3A">
      <w:rPr>
        <w:noProof/>
        <w:sz w:val="13"/>
      </w:rPr>
      <w:t>W:\Assessoria\CONTRIBUIÇÃO PREVIDENCIÁRIA\apelação\2013\2158 68 2012 4 01 3807 (15d.ferias ind.terço-seg.parc.apel.partes).docx</w:t>
    </w:r>
    <w:r w:rsidR="00404CED">
      <w:rPr>
        <w:sz w:val="13"/>
      </w:rPr>
      <w:fldChar w:fldCharType="end"/>
    </w:r>
  </w:p>
  <w:p w:rsidR="00413610" w:rsidRDefault="00413610">
    <w:pPr>
      <w:tabs>
        <w:tab w:val="right" w:pos="9360"/>
      </w:tabs>
      <w:rPr>
        <w:sz w:val="13"/>
      </w:rPr>
    </w:pPr>
    <w:r>
      <w:rPr>
        <w:sz w:val="13"/>
      </w:rPr>
      <w:t xml:space="preserve">Criado por </w:t>
    </w:r>
    <w:r w:rsidR="00404CED">
      <w:rPr>
        <w:sz w:val="13"/>
      </w:rPr>
      <w:fldChar w:fldCharType="begin"/>
    </w:r>
    <w:r>
      <w:rPr>
        <w:sz w:val="13"/>
      </w:rPr>
      <w:instrText xml:space="preserve"> AUTHOR </w:instrText>
    </w:r>
    <w:r w:rsidR="00404CED">
      <w:rPr>
        <w:sz w:val="13"/>
      </w:rPr>
      <w:fldChar w:fldCharType="separate"/>
    </w:r>
    <w:r w:rsidR="009E4E3A">
      <w:rPr>
        <w:noProof/>
        <w:sz w:val="13"/>
      </w:rPr>
      <w:t>TR141203</w:t>
    </w:r>
    <w:r w:rsidR="00404CED">
      <w:rPr>
        <w:sz w:val="13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73BF" w:rsidRDefault="007E73BF">
      <w:r>
        <w:separator/>
      </w:r>
    </w:p>
  </w:footnote>
  <w:footnote w:type="continuationSeparator" w:id="1">
    <w:p w:rsidR="007E73BF" w:rsidRDefault="007E73B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spacing w:before="120"/>
      <w:rPr>
        <w:sz w:val="16"/>
      </w:rPr>
    </w:pPr>
    <w:r>
      <w:rPr>
        <w:sz w:val="16"/>
      </w:rPr>
      <w:t>PODER JUDICIÁRIO</w:t>
    </w:r>
  </w:p>
  <w:p w:rsidR="00413610" w:rsidRDefault="00413610">
    <w:pPr>
      <w:tabs>
        <w:tab w:val="right" w:pos="9540"/>
      </w:tabs>
      <w:spacing w:after="120"/>
      <w:rPr>
        <w:rFonts w:cs="Arial"/>
        <w:bCs/>
        <w:sz w:val="16"/>
      </w:rPr>
    </w:pPr>
    <w:r>
      <w:rPr>
        <w:b/>
        <w:sz w:val="20"/>
      </w:rPr>
      <w:t>TRIBUNAL REGIONAL FEDERAL DA PRIMEIRA REGIÃO</w:t>
    </w:r>
    <w:r>
      <w:rPr>
        <w:b/>
        <w:sz w:val="20"/>
      </w:rPr>
      <w:tab/>
    </w:r>
    <w:r>
      <w:rPr>
        <w:rFonts w:cs="Arial"/>
        <w:bCs/>
        <w:sz w:val="16"/>
      </w:rPr>
      <w:t>fls.</w:t>
    </w:r>
    <w:r w:rsidR="00404CED">
      <w:rPr>
        <w:rFonts w:cs="Arial"/>
        <w:bCs/>
        <w:sz w:val="16"/>
      </w:rPr>
      <w:fldChar w:fldCharType="begin"/>
    </w:r>
    <w:r>
      <w:rPr>
        <w:rFonts w:cs="Arial"/>
        <w:bCs/>
        <w:sz w:val="16"/>
      </w:rPr>
      <w:instrText xml:space="preserve"> PAGE </w:instrText>
    </w:r>
    <w:r w:rsidR="00404CED">
      <w:rPr>
        <w:rFonts w:cs="Arial"/>
        <w:bCs/>
        <w:sz w:val="16"/>
      </w:rPr>
      <w:fldChar w:fldCharType="separate"/>
    </w:r>
    <w:r w:rsidR="00672B45">
      <w:rPr>
        <w:rFonts w:cs="Arial"/>
        <w:bCs/>
        <w:noProof/>
        <w:sz w:val="16"/>
      </w:rPr>
      <w:t>4</w:t>
    </w:r>
    <w:r w:rsidR="00404CED">
      <w:rPr>
        <w:rFonts w:cs="Arial"/>
        <w:bCs/>
        <w:sz w:val="16"/>
      </w:rPr>
      <w:fldChar w:fldCharType="end"/>
    </w:r>
    <w:r>
      <w:rPr>
        <w:rFonts w:cs="Arial"/>
        <w:bCs/>
        <w:sz w:val="16"/>
      </w:rPr>
      <w:t>/</w:t>
    </w:r>
    <w:r w:rsidR="00404CED">
      <w:rPr>
        <w:rFonts w:cs="Arial"/>
        <w:bCs/>
        <w:sz w:val="16"/>
      </w:rPr>
      <w:fldChar w:fldCharType="begin"/>
    </w:r>
    <w:r>
      <w:rPr>
        <w:rFonts w:cs="Arial"/>
        <w:bCs/>
        <w:sz w:val="16"/>
      </w:rPr>
      <w:instrText xml:space="preserve"> NUMPAGES </w:instrText>
    </w:r>
    <w:r w:rsidR="00404CED">
      <w:rPr>
        <w:rFonts w:cs="Arial"/>
        <w:bCs/>
        <w:sz w:val="16"/>
      </w:rPr>
      <w:fldChar w:fldCharType="separate"/>
    </w:r>
    <w:r w:rsidR="00672B45">
      <w:rPr>
        <w:rFonts w:cs="Arial"/>
        <w:bCs/>
        <w:noProof/>
        <w:sz w:val="16"/>
      </w:rPr>
      <w:t>5</w:t>
    </w:r>
    <w:r w:rsidR="00404CED">
      <w:rPr>
        <w:rFonts w:cs="Arial"/>
        <w:bCs/>
        <w:sz w:val="16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73BF" w:rsidRPr="007E73BF" w:rsidRDefault="007E73BF" w:rsidP="007E73BF">
    <w:pPr>
      <w:jc w:val="right"/>
      <w:rPr>
        <w:rFonts w:ascii="Interleaved 2of5" w:hAnsi="Interleaved 2of5"/>
        <w:sz w:val="48"/>
      </w:rPr>
    </w:pPr>
    <w:r w:rsidRPr="007E73BF">
      <w:rPr>
        <w:rFonts w:ascii="Interleaved 2of5" w:hAnsi="Interleaved 2of5"/>
        <w:sz w:val="48"/>
      </w:rPr>
      <w:t>(</w:t>
    </w:r>
    <w:proofErr w:type="gramStart"/>
    <w:r w:rsidRPr="007E73BF">
      <w:rPr>
        <w:rFonts w:ascii="Interleaved 2of5" w:hAnsi="Interleaved 2of5"/>
        <w:sz w:val="48"/>
      </w:rPr>
      <w:t>2</w:t>
    </w:r>
    <w:proofErr w:type="gramEnd"/>
    <w:r w:rsidRPr="007E73BF">
      <w:rPr>
        <w:rFonts w:ascii="Interleaved 2of5" w:hAnsi="Interleaved 2of5"/>
        <w:sz w:val="48"/>
      </w:rPr>
      <w:t>?äà1H1V7)</w:t>
    </w:r>
  </w:p>
  <w:p w:rsidR="004554A7" w:rsidRDefault="007E73BF" w:rsidP="004554A7">
    <w:pPr>
      <w:spacing w:before="120"/>
      <w:jc w:val="center"/>
      <w:rPr>
        <w:sz w:val="16"/>
      </w:rPr>
    </w:pPr>
    <w:r>
      <w:rPr>
        <w:noProof/>
        <w:sz w:val="16"/>
      </w:rPr>
      <w:drawing>
        <wp:inline distT="0" distB="0" distL="0" distR="0">
          <wp:extent cx="762000" cy="800100"/>
          <wp:effectExtent l="19050" t="0" r="0" b="0"/>
          <wp:docPr id="1" name="Imagem 1" descr="brasao_do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_doc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13610" w:rsidRDefault="00413610" w:rsidP="004554A7">
    <w:pPr>
      <w:spacing w:before="120"/>
      <w:jc w:val="center"/>
      <w:rPr>
        <w:sz w:val="16"/>
      </w:rPr>
    </w:pPr>
    <w:r>
      <w:rPr>
        <w:sz w:val="16"/>
      </w:rPr>
      <w:t>PODER JUDICIÁRIO</w:t>
    </w:r>
  </w:p>
  <w:p w:rsidR="00413610" w:rsidRDefault="00413610" w:rsidP="004554A7">
    <w:pPr>
      <w:jc w:val="center"/>
    </w:pPr>
    <w:r>
      <w:rPr>
        <w:b/>
        <w:sz w:val="20"/>
      </w:rPr>
      <w:t>TRIBUNAL REGIONAL FEDERAL DA PRIMEIRA REGIÃO</w:t>
    </w:r>
    <w:r>
      <w:rPr>
        <w:b/>
        <w:sz w:val="2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66DAC"/>
    <w:multiLevelType w:val="hybridMultilevel"/>
    <w:tmpl w:val="CAEEAB38"/>
    <w:lvl w:ilvl="0" w:tplc="1CB0F4D0">
      <w:start w:val="1"/>
      <w:numFmt w:val="bullet"/>
      <w:lvlText w:val="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24A34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EB4F8E"/>
    <w:multiLevelType w:val="hybridMultilevel"/>
    <w:tmpl w:val="C3E6D79C"/>
    <w:lvl w:ilvl="0" w:tplc="47D29EBA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2">
    <w:nsid w:val="2A262624"/>
    <w:multiLevelType w:val="multilevel"/>
    <w:tmpl w:val="78EEB8B6"/>
    <w:lvl w:ilvl="0">
      <w:start w:val="1"/>
      <w:numFmt w:val="bullet"/>
      <w:lvlText w:val="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211"/>
        </w:tabs>
        <w:ind w:left="1134" w:hanging="283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061"/>
        </w:tabs>
        <w:ind w:left="1928" w:hanging="22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95"/>
        </w:tabs>
        <w:ind w:left="3119" w:hanging="284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139"/>
        </w:tabs>
        <w:ind w:left="4139" w:hanging="737"/>
      </w:pPr>
      <w:rPr>
        <w:rFonts w:ascii="Symbol" w:hAnsi="Symbol" w:hint="default"/>
        <w:sz w:val="14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attachedTemplate r:id="rId1"/>
  <w:stylePaneFormatFilter w:val="1801"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721D0"/>
    <w:rsid w:val="000B35AF"/>
    <w:rsid w:val="00150C64"/>
    <w:rsid w:val="0015179D"/>
    <w:rsid w:val="00191A8C"/>
    <w:rsid w:val="002331F7"/>
    <w:rsid w:val="00404CED"/>
    <w:rsid w:val="00413610"/>
    <w:rsid w:val="004269A8"/>
    <w:rsid w:val="004554A7"/>
    <w:rsid w:val="00462716"/>
    <w:rsid w:val="00471CDF"/>
    <w:rsid w:val="004C17AC"/>
    <w:rsid w:val="005E20DB"/>
    <w:rsid w:val="00672088"/>
    <w:rsid w:val="00672B45"/>
    <w:rsid w:val="006779DE"/>
    <w:rsid w:val="006A4ECE"/>
    <w:rsid w:val="00767104"/>
    <w:rsid w:val="007A7066"/>
    <w:rsid w:val="007C3424"/>
    <w:rsid w:val="007E73BF"/>
    <w:rsid w:val="008713AE"/>
    <w:rsid w:val="00872397"/>
    <w:rsid w:val="008A3D69"/>
    <w:rsid w:val="008C4395"/>
    <w:rsid w:val="00954404"/>
    <w:rsid w:val="0099169E"/>
    <w:rsid w:val="009E4E3A"/>
    <w:rsid w:val="00B721D0"/>
    <w:rsid w:val="00C5492A"/>
    <w:rsid w:val="00D221D6"/>
    <w:rsid w:val="00D43E2D"/>
    <w:rsid w:val="00DD0AC9"/>
    <w:rsid w:val="00E850E4"/>
    <w:rsid w:val="00EE64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E73BF"/>
    <w:rPr>
      <w:rFonts w:ascii="Arial" w:hAnsi="Arial"/>
      <w:sz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Identificao">
    <w:name w:val="Identificação"/>
    <w:basedOn w:val="ementa"/>
    <w:uiPriority w:val="99"/>
    <w:rsid w:val="00954404"/>
    <w:pPr>
      <w:spacing w:before="0" w:after="0"/>
    </w:pPr>
  </w:style>
  <w:style w:type="paragraph" w:customStyle="1" w:styleId="ementa">
    <w:name w:val="ementa"/>
    <w:basedOn w:val="Pargrafo"/>
    <w:link w:val="ementaChar"/>
    <w:rsid w:val="002331F7"/>
    <w:pPr>
      <w:ind w:firstLine="0"/>
    </w:pPr>
  </w:style>
  <w:style w:type="paragraph" w:customStyle="1" w:styleId="Pargrafo">
    <w:name w:val="Parágrafo"/>
    <w:basedOn w:val="Normal"/>
    <w:link w:val="PargrafoChar"/>
    <w:rsid w:val="00954404"/>
    <w:pPr>
      <w:spacing w:before="120" w:after="120"/>
      <w:ind w:firstLine="1418"/>
      <w:jc w:val="both"/>
    </w:pPr>
    <w:rPr>
      <w:sz w:val="22"/>
      <w:szCs w:val="24"/>
    </w:rPr>
  </w:style>
  <w:style w:type="paragraph" w:customStyle="1" w:styleId="centralizar">
    <w:name w:val="centralizar"/>
    <w:basedOn w:val="Pargrafo"/>
    <w:next w:val="Pargrafo"/>
    <w:rsid w:val="00954404"/>
    <w:pPr>
      <w:spacing w:before="360" w:after="360"/>
      <w:ind w:firstLine="0"/>
      <w:jc w:val="center"/>
    </w:pPr>
    <w:rPr>
      <w:b/>
    </w:rPr>
  </w:style>
  <w:style w:type="paragraph" w:customStyle="1" w:styleId="Transcrio">
    <w:name w:val="Transcrição"/>
    <w:basedOn w:val="Pargrafo"/>
    <w:rsid w:val="00954404"/>
    <w:pPr>
      <w:spacing w:before="60" w:after="60"/>
      <w:ind w:left="2268" w:firstLine="0"/>
    </w:pPr>
    <w:rPr>
      <w:i/>
    </w:rPr>
  </w:style>
  <w:style w:type="paragraph" w:styleId="Cabealho">
    <w:name w:val="header"/>
    <w:basedOn w:val="Normal"/>
    <w:rsid w:val="002331F7"/>
    <w:pPr>
      <w:tabs>
        <w:tab w:val="center" w:pos="4252"/>
        <w:tab w:val="right" w:pos="8504"/>
      </w:tabs>
    </w:pPr>
    <w:rPr>
      <w:rFonts w:ascii="Times New Roman" w:hAnsi="Times New Roman"/>
      <w:sz w:val="24"/>
      <w:szCs w:val="24"/>
    </w:rPr>
  </w:style>
  <w:style w:type="paragraph" w:customStyle="1" w:styleId="transcrio2">
    <w:name w:val="transcrição 2"/>
    <w:basedOn w:val="Transcrio"/>
    <w:rsid w:val="00954404"/>
    <w:pPr>
      <w:ind w:left="2835"/>
    </w:pPr>
  </w:style>
  <w:style w:type="paragraph" w:customStyle="1" w:styleId="transcrio3">
    <w:name w:val="transcrição 3"/>
    <w:basedOn w:val="Identificao"/>
    <w:rsid w:val="00954404"/>
    <w:pPr>
      <w:ind w:left="3686"/>
    </w:pPr>
    <w:rPr>
      <w:i/>
      <w:iCs/>
    </w:rPr>
  </w:style>
  <w:style w:type="paragraph" w:customStyle="1" w:styleId="transcrio4">
    <w:name w:val="transcrição 4"/>
    <w:basedOn w:val="transcrio3"/>
    <w:rsid w:val="00954404"/>
    <w:pPr>
      <w:ind w:left="4536"/>
    </w:pPr>
  </w:style>
  <w:style w:type="paragraph" w:customStyle="1" w:styleId="assinatura">
    <w:name w:val="assinatura"/>
    <w:basedOn w:val="Pargrafo"/>
    <w:rsid w:val="00954404"/>
    <w:pPr>
      <w:spacing w:before="0" w:after="0"/>
      <w:ind w:firstLine="0"/>
      <w:jc w:val="center"/>
    </w:pPr>
  </w:style>
  <w:style w:type="paragraph" w:customStyle="1" w:styleId="Pargrafo2">
    <w:name w:val="Parágrafo 2"/>
    <w:basedOn w:val="Pargrafo"/>
    <w:rsid w:val="00954404"/>
    <w:pPr>
      <w:spacing w:line="480" w:lineRule="auto"/>
    </w:pPr>
  </w:style>
  <w:style w:type="paragraph" w:styleId="Rodap">
    <w:name w:val="footer"/>
    <w:basedOn w:val="Normal"/>
    <w:rsid w:val="002331F7"/>
    <w:pPr>
      <w:tabs>
        <w:tab w:val="center" w:pos="4252"/>
        <w:tab w:val="right" w:pos="8504"/>
      </w:tabs>
    </w:pPr>
    <w:rPr>
      <w:rFonts w:ascii="Times New Roman" w:hAnsi="Times New Roman"/>
      <w:sz w:val="24"/>
      <w:szCs w:val="24"/>
    </w:rPr>
  </w:style>
  <w:style w:type="paragraph" w:styleId="TextosemFormatao">
    <w:name w:val="Plain Text"/>
    <w:basedOn w:val="Normal"/>
    <w:link w:val="TextosemFormataoChar"/>
    <w:uiPriority w:val="99"/>
    <w:unhideWhenUsed/>
    <w:rsid w:val="007E73BF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7E73BF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ementaChar">
    <w:name w:val="ementa Char"/>
    <w:basedOn w:val="Fontepargpadro"/>
    <w:link w:val="ementa"/>
    <w:locked/>
    <w:rsid w:val="007E73BF"/>
    <w:rPr>
      <w:rFonts w:ascii="Arial" w:hAnsi="Arial"/>
      <w:sz w:val="22"/>
      <w:szCs w:val="24"/>
    </w:rPr>
  </w:style>
  <w:style w:type="character" w:customStyle="1" w:styleId="PargrafoChar">
    <w:name w:val="Parágrafo Char"/>
    <w:basedOn w:val="Fontepargpadro"/>
    <w:link w:val="Pargrafo"/>
    <w:locked/>
    <w:rsid w:val="007E73BF"/>
    <w:rPr>
      <w:rFonts w:ascii="Arial" w:hAnsi="Arial"/>
      <w:sz w:val="22"/>
      <w:szCs w:val="24"/>
    </w:rPr>
  </w:style>
  <w:style w:type="paragraph" w:customStyle="1" w:styleId="citao">
    <w:name w:val="citação"/>
    <w:basedOn w:val="Normal"/>
    <w:link w:val="citaoChar"/>
    <w:rsid w:val="007E73BF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line="300" w:lineRule="exact"/>
      <w:ind w:left="709"/>
      <w:jc w:val="both"/>
    </w:pPr>
    <w:rPr>
      <w:sz w:val="22"/>
    </w:rPr>
  </w:style>
  <w:style w:type="character" w:customStyle="1" w:styleId="citaoChar">
    <w:name w:val="citação Char"/>
    <w:basedOn w:val="Fontepargpadro"/>
    <w:link w:val="citao"/>
    <w:locked/>
    <w:rsid w:val="007E73BF"/>
    <w:rPr>
      <w:rFonts w:ascii="Arial" w:hAnsi="Arial"/>
      <w:sz w:val="22"/>
    </w:rPr>
  </w:style>
  <w:style w:type="paragraph" w:styleId="Pr-formataoHTML">
    <w:name w:val="HTML Preformatted"/>
    <w:basedOn w:val="Normal"/>
    <w:link w:val="Pr-formataoHTMLChar"/>
    <w:uiPriority w:val="99"/>
    <w:rsid w:val="007E73B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7E73BF"/>
    <w:rPr>
      <w:rFonts w:ascii="Courier New" w:hAnsi="Courier New" w:cs="Courier New"/>
    </w:rPr>
  </w:style>
  <w:style w:type="paragraph" w:styleId="Textodebalo">
    <w:name w:val="Balloon Text"/>
    <w:basedOn w:val="Normal"/>
    <w:link w:val="TextodebaloChar"/>
    <w:rsid w:val="00B721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721D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rvora2-trf1\Modelos\modelos%20gabinetes\M&#193;SCARA%20PADR&#195;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MÁSCARA PADRÃO</Template>
  <TotalTime>1</TotalTime>
  <Pages>4</Pages>
  <Words>1269</Words>
  <Characters>7197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trf1</Company>
  <LinksUpToDate>false</LinksUpToDate>
  <CharactersWithSpaces>8450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TR141203</dc:creator>
  <cp:keywords/>
  <dc:description/>
  <cp:lastModifiedBy>tr300116</cp:lastModifiedBy>
  <cp:revision>2</cp:revision>
  <cp:lastPrinted>2013-04-21T13:12:00Z</cp:lastPrinted>
  <dcterms:created xsi:type="dcterms:W3CDTF">2013-05-02T15:17:00Z</dcterms:created>
  <dcterms:modified xsi:type="dcterms:W3CDTF">2013-05-02T15:17:00Z</dcterms:modified>
</cp:coreProperties>
</file>