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D73" w:rsidRDefault="00382D73" w:rsidP="00382D73">
      <w:pPr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b/>
          <w:bCs/>
          <w:sz w:val="22"/>
          <w:szCs w:val="22"/>
        </w:rPr>
        <w:t>PEDIDO DE UNIFORMIZAÇÃO DE INTERPRETAÇÃO DE LEI FEDERAL</w:t>
      </w:r>
    </w:p>
    <w:tbl>
      <w:tblPr>
        <w:tblW w:w="9180" w:type="dxa"/>
        <w:tblInd w:w="108" w:type="dxa"/>
        <w:tblBorders>
          <w:bottom w:val="single" w:sz="4" w:space="0" w:color="auto"/>
        </w:tblBorders>
        <w:tblLayout w:type="fixed"/>
        <w:tblLook w:val="01E0"/>
      </w:tblPr>
      <w:tblGrid>
        <w:gridCol w:w="2235"/>
        <w:gridCol w:w="6945"/>
      </w:tblGrid>
      <w:tr w:rsidR="00382D73" w:rsidTr="00A72889">
        <w:trPr>
          <w:trHeight w:val="273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2D73" w:rsidRPr="00800B18" w:rsidRDefault="00382D73" w:rsidP="00A72889">
            <w:pPr>
              <w:ind w:left="-108"/>
              <w:jc w:val="both"/>
              <w:rPr>
                <w:rFonts w:ascii="Century Gothic" w:hAnsi="Century Gothic" w:cs="Arial"/>
                <w:b/>
                <w:bCs/>
              </w:rPr>
            </w:pPr>
            <w:r w:rsidRPr="00800B18">
              <w:rPr>
                <w:rFonts w:ascii="Century Gothic" w:hAnsi="Century Gothic" w:cs="Arial"/>
                <w:b/>
                <w:bCs/>
                <w:sz w:val="22"/>
                <w:szCs w:val="22"/>
              </w:rPr>
              <w:t>NÚMERO: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2D73" w:rsidRPr="00800B18" w:rsidRDefault="00382D73" w:rsidP="00A72889">
            <w:pPr>
              <w:tabs>
                <w:tab w:val="left" w:pos="2552"/>
                <w:tab w:val="left" w:pos="2694"/>
              </w:tabs>
              <w:jc w:val="both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0024683-02.2011.4.01.3800</w:t>
            </w:r>
          </w:p>
        </w:tc>
      </w:tr>
      <w:tr w:rsidR="00382D73" w:rsidTr="00A72889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2D73" w:rsidRDefault="00382D73" w:rsidP="00A72889">
            <w:pPr>
              <w:tabs>
                <w:tab w:val="left" w:pos="2552"/>
              </w:tabs>
              <w:ind w:left="-108"/>
              <w:jc w:val="both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  <w:sz w:val="22"/>
                <w:szCs w:val="22"/>
              </w:rPr>
              <w:t>RELATOR: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2D73" w:rsidRDefault="00382D73" w:rsidP="00A72889">
            <w:pPr>
              <w:tabs>
                <w:tab w:val="left" w:pos="2552"/>
                <w:tab w:val="left" w:pos="2694"/>
              </w:tabs>
              <w:jc w:val="both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  <w:sz w:val="22"/>
                <w:szCs w:val="22"/>
              </w:rPr>
              <w:t>JUIZ FEDERAL GUILHERME FABIANO JULIEN DE REZENDE</w:t>
            </w:r>
          </w:p>
        </w:tc>
      </w:tr>
      <w:tr w:rsidR="00382D73" w:rsidTr="00A72889">
        <w:trPr>
          <w:trHeight w:val="281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2D73" w:rsidRDefault="00382D73" w:rsidP="00A72889">
            <w:pPr>
              <w:tabs>
                <w:tab w:val="left" w:pos="2552"/>
                <w:tab w:val="left" w:pos="2694"/>
              </w:tabs>
              <w:ind w:left="-108"/>
              <w:jc w:val="both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  <w:sz w:val="22"/>
                <w:szCs w:val="22"/>
              </w:rPr>
              <w:t>RECORRENTE:</w:t>
            </w:r>
          </w:p>
          <w:p w:rsidR="00382D73" w:rsidRDefault="00382D73" w:rsidP="00A72889">
            <w:pPr>
              <w:tabs>
                <w:tab w:val="left" w:pos="2552"/>
                <w:tab w:val="left" w:pos="2694"/>
              </w:tabs>
              <w:ind w:left="-108"/>
              <w:jc w:val="both"/>
              <w:rPr>
                <w:rFonts w:ascii="Century Gothic" w:hAnsi="Century Gothic" w:cs="Arial"/>
                <w:b/>
                <w:bCs/>
              </w:rPr>
            </w:pPr>
          </w:p>
          <w:p w:rsidR="00382D73" w:rsidRDefault="00382D73" w:rsidP="00A72889">
            <w:pPr>
              <w:tabs>
                <w:tab w:val="left" w:pos="2552"/>
                <w:tab w:val="left" w:pos="2694"/>
              </w:tabs>
              <w:ind w:left="-108"/>
              <w:jc w:val="both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  <w:sz w:val="22"/>
                <w:szCs w:val="22"/>
              </w:rPr>
              <w:t>PROCURADOR: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2D73" w:rsidRDefault="00382D73" w:rsidP="00A72889">
            <w:pPr>
              <w:tabs>
                <w:tab w:val="left" w:pos="2552"/>
                <w:tab w:val="left" w:pos="2694"/>
              </w:tabs>
              <w:jc w:val="both"/>
              <w:rPr>
                <w:rFonts w:ascii="Century Gothic" w:hAnsi="Century Gothic"/>
                <w:b/>
                <w:lang w:eastAsia="en-US"/>
              </w:rPr>
            </w:pPr>
            <w:r w:rsidRPr="00800B18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DEPARTAMENTO NACIONAL DE INFRAESTRUTURA DE TRANSPORTES-DNIT</w:t>
            </w:r>
          </w:p>
          <w:p w:rsidR="00382D73" w:rsidRPr="00800B18" w:rsidRDefault="00382D73" w:rsidP="00A72889">
            <w:pPr>
              <w:tabs>
                <w:tab w:val="left" w:pos="2552"/>
                <w:tab w:val="left" w:pos="2694"/>
              </w:tabs>
              <w:jc w:val="both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  <w:sz w:val="22"/>
                <w:szCs w:val="22"/>
              </w:rPr>
              <w:t>PROCURADORIA REGIONAL FEDERAL DA PRIMERA REGIÃO</w:t>
            </w:r>
          </w:p>
        </w:tc>
      </w:tr>
      <w:tr w:rsidR="00382D73" w:rsidTr="00A72889">
        <w:trPr>
          <w:trHeight w:val="195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2D73" w:rsidRDefault="00382D73" w:rsidP="00A72889">
            <w:pPr>
              <w:tabs>
                <w:tab w:val="left" w:pos="2552"/>
                <w:tab w:val="left" w:pos="2694"/>
              </w:tabs>
              <w:ind w:left="-108"/>
              <w:jc w:val="both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  <w:sz w:val="22"/>
                <w:szCs w:val="22"/>
              </w:rPr>
              <w:t>RECORRIDA:</w:t>
            </w:r>
          </w:p>
          <w:p w:rsidR="00382D73" w:rsidRDefault="00382D73" w:rsidP="00A72889">
            <w:pPr>
              <w:tabs>
                <w:tab w:val="left" w:pos="2552"/>
                <w:tab w:val="left" w:pos="2694"/>
              </w:tabs>
              <w:ind w:left="-108"/>
              <w:jc w:val="both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  <w:sz w:val="22"/>
                <w:szCs w:val="22"/>
              </w:rPr>
              <w:t>ADVOGADA: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2D73" w:rsidRDefault="00382D73" w:rsidP="00A72889">
            <w:pPr>
              <w:tabs>
                <w:tab w:val="left" w:pos="2552"/>
                <w:tab w:val="left" w:pos="2694"/>
              </w:tabs>
              <w:jc w:val="both"/>
              <w:rPr>
                <w:rFonts w:ascii="Century Gothic" w:hAnsi="Century Gothic"/>
                <w:b/>
                <w:lang w:eastAsia="en-US"/>
              </w:rPr>
            </w:pPr>
            <w:r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ANA LUZIA GAZZOLA CASTRO</w:t>
            </w:r>
          </w:p>
          <w:p w:rsidR="00382D73" w:rsidRPr="00800B18" w:rsidRDefault="00382D73" w:rsidP="00A72889">
            <w:pPr>
              <w:tabs>
                <w:tab w:val="left" w:pos="2552"/>
                <w:tab w:val="left" w:pos="2694"/>
              </w:tabs>
              <w:jc w:val="both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ADRIANA CASTANHEIRA</w:t>
            </w:r>
            <w:r w:rsidR="00BC6CA9">
              <w:rPr>
                <w:rFonts w:ascii="Century Gothic" w:hAnsi="Century Gothic"/>
                <w:b/>
                <w:sz w:val="22"/>
                <w:szCs w:val="22"/>
                <w:lang w:eastAsia="en-US"/>
              </w:rPr>
              <w:t>- OAB MG/75307</w:t>
            </w:r>
          </w:p>
        </w:tc>
      </w:tr>
    </w:tbl>
    <w:p w:rsidR="00382D73" w:rsidRDefault="00382D73" w:rsidP="00382D73">
      <w:pPr>
        <w:pStyle w:val="Identificao"/>
        <w:rPr>
          <w:rFonts w:cs="Arial"/>
          <w:b/>
          <w:szCs w:val="22"/>
        </w:rPr>
      </w:pPr>
    </w:p>
    <w:p w:rsidR="00382D73" w:rsidRDefault="00382D73" w:rsidP="00382D73">
      <w:pPr>
        <w:pStyle w:val="Identificao"/>
        <w:rPr>
          <w:rFonts w:cs="Arial"/>
          <w:b/>
          <w:szCs w:val="22"/>
        </w:rPr>
      </w:pPr>
    </w:p>
    <w:p w:rsidR="00382D73" w:rsidRDefault="00382D73" w:rsidP="00382D73">
      <w:pPr>
        <w:pStyle w:val="Identificao"/>
        <w:rPr>
          <w:rFonts w:cs="Arial"/>
          <w:b/>
          <w:szCs w:val="22"/>
        </w:rPr>
      </w:pPr>
    </w:p>
    <w:p w:rsidR="00382D73" w:rsidRDefault="00382D73" w:rsidP="00382D73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382D73" w:rsidRDefault="00382D73" w:rsidP="00382D73">
      <w:pPr>
        <w:pStyle w:val="Identificao"/>
        <w:jc w:val="center"/>
        <w:rPr>
          <w:rFonts w:ascii="Century Gothic" w:hAnsi="Century Gothic" w:cs="Arial"/>
          <w:b/>
          <w:szCs w:val="22"/>
          <w:u w:val="single"/>
        </w:rPr>
      </w:pPr>
      <w:r>
        <w:rPr>
          <w:rFonts w:ascii="Century Gothic" w:hAnsi="Century Gothic" w:cs="Arial"/>
          <w:b/>
          <w:szCs w:val="22"/>
          <w:u w:val="single"/>
        </w:rPr>
        <w:t>DECISÃO MONOCRÁTICA</w:t>
      </w:r>
    </w:p>
    <w:p w:rsidR="00382D73" w:rsidRDefault="00382D73" w:rsidP="00382D73">
      <w:pPr>
        <w:autoSpaceDE w:val="0"/>
        <w:autoSpaceDN w:val="0"/>
        <w:adjustRightInd w:val="0"/>
        <w:ind w:firstLine="708"/>
        <w:jc w:val="both"/>
        <w:rPr>
          <w:rFonts w:ascii="Century Gothic" w:hAnsi="Century Gothic" w:cs="Arial"/>
          <w:sz w:val="22"/>
          <w:szCs w:val="22"/>
        </w:rPr>
      </w:pPr>
    </w:p>
    <w:p w:rsidR="00382D73" w:rsidRDefault="00382D73" w:rsidP="00382D73">
      <w:pPr>
        <w:pStyle w:val="Corpodetexto"/>
        <w:tabs>
          <w:tab w:val="left" w:pos="1701"/>
        </w:tabs>
        <w:spacing w:after="0" w:line="276" w:lineRule="auto"/>
        <w:ind w:firstLine="709"/>
        <w:jc w:val="both"/>
        <w:rPr>
          <w:rFonts w:ascii="Century Gothic" w:hAnsi="Century Gothic"/>
          <w:b w:val="0"/>
          <w:noProof/>
          <w:sz w:val="22"/>
          <w:szCs w:val="22"/>
        </w:rPr>
      </w:pPr>
      <w:r>
        <w:rPr>
          <w:rFonts w:ascii="Century Gothic" w:hAnsi="Century Gothic"/>
          <w:b w:val="0"/>
          <w:noProof/>
          <w:sz w:val="22"/>
          <w:szCs w:val="22"/>
        </w:rPr>
        <w:t xml:space="preserve">Trata-se de incidente de uniformização regional interposto pelo DNIT (fl. 101/108) contra acórdão proferido nesses autos pela </w:t>
      </w:r>
      <w:r w:rsidRPr="00676B39">
        <w:rPr>
          <w:rFonts w:ascii="Century Gothic" w:hAnsi="Century Gothic" w:cs="Times New Roman"/>
          <w:b w:val="0"/>
          <w:sz w:val="22"/>
          <w:szCs w:val="22"/>
        </w:rPr>
        <w:t>1ª Turma Recursal do Juizado Especial Federal da Seção Judi</w:t>
      </w:r>
      <w:r>
        <w:rPr>
          <w:rFonts w:ascii="Century Gothic" w:hAnsi="Century Gothic" w:cs="Times New Roman"/>
          <w:b w:val="0"/>
          <w:sz w:val="22"/>
          <w:szCs w:val="22"/>
        </w:rPr>
        <w:t>ciária de Minas Gerais de fl. 96/97</w:t>
      </w:r>
      <w:r w:rsidRPr="00676B39">
        <w:rPr>
          <w:rFonts w:ascii="Century Gothic" w:hAnsi="Century Gothic" w:cs="Times New Roman"/>
          <w:b w:val="0"/>
          <w:sz w:val="22"/>
          <w:szCs w:val="22"/>
        </w:rPr>
        <w:t xml:space="preserve"> que </w:t>
      </w:r>
      <w:r>
        <w:rPr>
          <w:rFonts w:ascii="Century Gothic" w:hAnsi="Century Gothic" w:cs="Times New Roman"/>
          <w:b w:val="0"/>
          <w:sz w:val="22"/>
          <w:szCs w:val="22"/>
        </w:rPr>
        <w:t>deu</w:t>
      </w:r>
      <w:proofErr w:type="gramStart"/>
      <w:r>
        <w:rPr>
          <w:rFonts w:ascii="Century Gothic" w:hAnsi="Century Gothic" w:cs="Times New Roman"/>
          <w:b w:val="0"/>
          <w:sz w:val="22"/>
          <w:szCs w:val="22"/>
        </w:rPr>
        <w:t xml:space="preserve">  </w:t>
      </w:r>
      <w:proofErr w:type="gramEnd"/>
      <w:r w:rsidRPr="00676B39">
        <w:rPr>
          <w:rFonts w:ascii="Century Gothic" w:hAnsi="Century Gothic" w:cs="Times New Roman"/>
          <w:b w:val="0"/>
          <w:sz w:val="22"/>
          <w:szCs w:val="22"/>
        </w:rPr>
        <w:t>provimento ao recurso inominado in</w:t>
      </w:r>
      <w:r>
        <w:rPr>
          <w:rFonts w:ascii="Century Gothic" w:hAnsi="Century Gothic" w:cs="Times New Roman"/>
          <w:b w:val="0"/>
          <w:sz w:val="22"/>
          <w:szCs w:val="22"/>
        </w:rPr>
        <w:t>terposto pela autora</w:t>
      </w:r>
      <w:r>
        <w:rPr>
          <w:rFonts w:ascii="Century Gothic" w:hAnsi="Century Gothic"/>
          <w:b w:val="0"/>
          <w:noProof/>
          <w:sz w:val="22"/>
          <w:szCs w:val="22"/>
        </w:rPr>
        <w:t>.</w:t>
      </w:r>
    </w:p>
    <w:p w:rsidR="00382D73" w:rsidRDefault="00382D73" w:rsidP="00382D73">
      <w:pPr>
        <w:pStyle w:val="Corpodetexto"/>
        <w:tabs>
          <w:tab w:val="left" w:pos="1701"/>
        </w:tabs>
        <w:spacing w:after="0" w:line="276" w:lineRule="auto"/>
        <w:ind w:firstLine="851"/>
        <w:jc w:val="both"/>
        <w:rPr>
          <w:rFonts w:ascii="Century Gothic" w:hAnsi="Century Gothic"/>
          <w:b w:val="0"/>
          <w:noProof/>
          <w:sz w:val="22"/>
          <w:szCs w:val="22"/>
        </w:rPr>
      </w:pPr>
    </w:p>
    <w:p w:rsidR="00382D73" w:rsidRDefault="00382D73" w:rsidP="00382D73">
      <w:pPr>
        <w:pStyle w:val="Corpodetexto"/>
        <w:tabs>
          <w:tab w:val="left" w:pos="1701"/>
        </w:tabs>
        <w:spacing w:after="0" w:line="276" w:lineRule="auto"/>
        <w:ind w:firstLine="851"/>
        <w:jc w:val="both"/>
        <w:rPr>
          <w:rFonts w:ascii="Century Gothic" w:hAnsi="Century Gothic"/>
          <w:b w:val="0"/>
          <w:sz w:val="22"/>
          <w:szCs w:val="22"/>
        </w:rPr>
      </w:pPr>
      <w:r>
        <w:rPr>
          <w:rFonts w:ascii="Century Gothic" w:hAnsi="Century Gothic"/>
          <w:b w:val="0"/>
          <w:noProof/>
          <w:sz w:val="22"/>
          <w:szCs w:val="22"/>
        </w:rPr>
        <w:t>O r</w:t>
      </w:r>
      <w:r w:rsidR="0063592A">
        <w:rPr>
          <w:rFonts w:ascii="Century Gothic" w:hAnsi="Century Gothic"/>
          <w:b w:val="0"/>
          <w:noProof/>
          <w:sz w:val="22"/>
          <w:szCs w:val="22"/>
        </w:rPr>
        <w:t>ecorrente indica divergência em</w:t>
      </w:r>
      <w:r>
        <w:rPr>
          <w:rFonts w:ascii="Century Gothic" w:hAnsi="Century Gothic"/>
          <w:b w:val="0"/>
          <w:noProof/>
          <w:sz w:val="22"/>
          <w:szCs w:val="22"/>
        </w:rPr>
        <w:t xml:space="preserve"> relação ao acórdão proferido pela 4ª Turma Recursal da Seção Judiciária de Minas Gerais,  sustentando a tese de que não é cabivel o pagamento dos valores retroativos aos servidores do DNIT em razão da progressão funcional instituida pela Lei 11.171/2005</w:t>
      </w:r>
      <w:r>
        <w:rPr>
          <w:rFonts w:ascii="Century Gothic" w:hAnsi="Century Gothic"/>
          <w:b w:val="0"/>
          <w:sz w:val="22"/>
          <w:szCs w:val="22"/>
        </w:rPr>
        <w:t xml:space="preserve">. </w:t>
      </w:r>
    </w:p>
    <w:p w:rsidR="00382D73" w:rsidRDefault="00382D73" w:rsidP="00382D73">
      <w:pPr>
        <w:pStyle w:val="Corpodetexto"/>
        <w:tabs>
          <w:tab w:val="left" w:pos="1701"/>
        </w:tabs>
        <w:spacing w:after="0" w:line="276" w:lineRule="auto"/>
        <w:ind w:firstLine="851"/>
        <w:jc w:val="both"/>
        <w:rPr>
          <w:rFonts w:ascii="Century Gothic" w:hAnsi="Century Gothic"/>
          <w:b w:val="0"/>
          <w:sz w:val="22"/>
          <w:szCs w:val="22"/>
        </w:rPr>
      </w:pPr>
    </w:p>
    <w:p w:rsidR="00382D73" w:rsidRDefault="00382D73" w:rsidP="00382D73">
      <w:pPr>
        <w:pStyle w:val="Corpodetexto"/>
        <w:tabs>
          <w:tab w:val="left" w:pos="1701"/>
        </w:tabs>
        <w:spacing w:after="0" w:line="276" w:lineRule="auto"/>
        <w:ind w:firstLine="851"/>
        <w:jc w:val="both"/>
        <w:rPr>
          <w:rFonts w:ascii="Century Gothic" w:hAnsi="Century Gothic"/>
          <w:b w:val="0"/>
          <w:sz w:val="22"/>
          <w:szCs w:val="22"/>
        </w:rPr>
      </w:pPr>
      <w:r>
        <w:rPr>
          <w:rFonts w:ascii="Century Gothic" w:hAnsi="Century Gothic"/>
          <w:b w:val="0"/>
          <w:sz w:val="22"/>
          <w:szCs w:val="22"/>
        </w:rPr>
        <w:t>Ocorre que a questão debatida nesses autos já foi decidida por esta Turma Regional. Cito, a propósito, as decisões:</w:t>
      </w:r>
    </w:p>
    <w:p w:rsidR="00382D73" w:rsidRDefault="00382D73" w:rsidP="00382D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rFonts w:ascii="Century Gothic" w:hAnsi="Century Gothic"/>
          <w:sz w:val="22"/>
          <w:szCs w:val="22"/>
        </w:rPr>
      </w:pPr>
    </w:p>
    <w:p w:rsidR="00382D73" w:rsidRPr="00A765E5" w:rsidRDefault="00382D73" w:rsidP="00382D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ind w:left="1134"/>
        <w:jc w:val="both"/>
        <w:rPr>
          <w:rFonts w:ascii="Century Gothic" w:hAnsi="Century Gothic"/>
          <w:sz w:val="22"/>
          <w:szCs w:val="22"/>
        </w:rPr>
      </w:pPr>
      <w:r w:rsidRPr="00A765E5">
        <w:rPr>
          <w:rFonts w:ascii="Century Gothic" w:hAnsi="Century Gothic"/>
          <w:sz w:val="22"/>
          <w:szCs w:val="22"/>
        </w:rPr>
        <w:t xml:space="preserve">TURMA REGIONAL DE UNIFORMIZAÇÃO. INCIDENTE DE UNIFORMIZAÇÃO. DNIT. PROGRESSÃO E PROMOÇÃO FUNCIONAL. PAGAMENTO DE EFEITOS FINANCEIROS RETROATIVOS. DECRETO N. 7.629/11. 1. A controvérsia cinge-se à aferição do cabimento dos valores pretéritos, proibidos expressamente pelo Decreto nº 7.629/11. O Decreto supracitado regulou a progressão funcional prevista na Lei nº 11.171/2005, mas vedou os efeitos retroativos disso decorrentes. </w:t>
      </w:r>
      <w:r w:rsidRPr="00A765E5">
        <w:rPr>
          <w:rFonts w:ascii="Century Gothic" w:hAnsi="Century Gothic"/>
          <w:b/>
          <w:sz w:val="22"/>
          <w:szCs w:val="22"/>
        </w:rPr>
        <w:t xml:space="preserve">2. Na esteira do entendimento da TNU, Decreto Regulamentador pode especificar os requisitos previstos em lei, mas não poderia vedar a </w:t>
      </w:r>
      <w:r w:rsidRPr="00A765E5">
        <w:rPr>
          <w:rFonts w:ascii="Century Gothic" w:hAnsi="Century Gothic"/>
          <w:b/>
          <w:sz w:val="22"/>
          <w:szCs w:val="22"/>
        </w:rPr>
        <w:lastRenderedPageBreak/>
        <w:t>retroatividade dos valores pretéritos a contar de sua publicação, ignorando por completo a data em que o servidor público ingressou no órgão e que preencheu os pressupostos para a sua progressão, notadamente porque a restrição não se encontra presente na lei regulamentada (Lei nº 11.171/05)</w:t>
      </w:r>
      <w:r w:rsidRPr="00A765E5">
        <w:rPr>
          <w:rFonts w:ascii="Century Gothic" w:hAnsi="Century Gothic"/>
          <w:sz w:val="22"/>
          <w:szCs w:val="22"/>
        </w:rPr>
        <w:t>. 3. Incidente de Uniformização desprovido. (AGREXT 0048163-72.2012.4.01.3800, GUILHERME MICHELAZZO BUENO, TRF1 - TURMA REGIONAL DE UNIFORMIZAÇÃO DE JURISPRUDÊNCIA, Diário Eletrônico Publicação 23/11/2018.) (grifei</w:t>
      </w:r>
      <w:proofErr w:type="gramStart"/>
      <w:r w:rsidRPr="00A765E5">
        <w:rPr>
          <w:rFonts w:ascii="Century Gothic" w:hAnsi="Century Gothic"/>
          <w:sz w:val="22"/>
          <w:szCs w:val="22"/>
        </w:rPr>
        <w:t>)</w:t>
      </w:r>
      <w:proofErr w:type="gramEnd"/>
    </w:p>
    <w:p w:rsidR="00382D73" w:rsidRPr="00A765E5" w:rsidRDefault="00382D73" w:rsidP="00382D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ind w:left="1134"/>
        <w:jc w:val="both"/>
        <w:rPr>
          <w:rFonts w:ascii="Century Gothic" w:hAnsi="Century Gothic"/>
          <w:sz w:val="22"/>
          <w:szCs w:val="22"/>
        </w:rPr>
      </w:pPr>
      <w:r w:rsidRPr="00A765E5">
        <w:rPr>
          <w:rFonts w:ascii="Century Gothic" w:hAnsi="Century Gothic"/>
          <w:sz w:val="22"/>
          <w:szCs w:val="22"/>
        </w:rPr>
        <w:t xml:space="preserve">TURMA REGIONAL DE UNIFORMIZAÇÃO. INCIDENTE DE UNIFORMIZAÇÃO. DNIT. PROGRESSÃO E PROMOÇÃO FUNCIONAL. PAGAMENTO DE EFEITOS FINANCEIROS RETROATIVOS. DECRETO N. 7.629/11. 1. A controvérsia cinge-se à aferição do cabimento dos valores pretéritos, proibidos expressamente pelo Decreto nº 7.629/11. O Decreto supracitado regulou a progressão funcional prevista na Lei nº 11.171/2005, mas vedou os efeitos retroativos disso decorrentes. </w:t>
      </w:r>
      <w:r w:rsidRPr="00A765E5">
        <w:rPr>
          <w:rFonts w:ascii="Century Gothic" w:hAnsi="Century Gothic"/>
          <w:b/>
          <w:sz w:val="22"/>
          <w:szCs w:val="22"/>
        </w:rPr>
        <w:t>2. Na esteira do entendimento da TNU, Decreto Regulamentador pode especificar os requisitos previstos em lei, mas não poderia vedar a retroatividade dos valores pretéritos a contar de sua publicação, ignorando por completo a data em que o servidor público ingressou no órgão e que preencheu os pressupostos para a sua progressão, notadamente porque a restrição não se encontra presente na lei regulamentada (Lei nº 11.171/05)</w:t>
      </w:r>
      <w:r w:rsidRPr="00A765E5">
        <w:rPr>
          <w:rFonts w:ascii="Century Gothic" w:hAnsi="Century Gothic"/>
          <w:sz w:val="22"/>
          <w:szCs w:val="22"/>
        </w:rPr>
        <w:t>. 3. Incidente de Uniformização desprovido. (AGREXT 0048163-72.2012.4.01.3800, GUILHERME MICHELAZZO BUENO, TRF1 - TURMA REGIONAL DE UNIFORMIZAÇÃO DE JURISPRUDÊNCIA, Diário Eletrônico Publicação 23/11/2018.) (grifei</w:t>
      </w:r>
      <w:proofErr w:type="gramStart"/>
      <w:r w:rsidRPr="00A765E5">
        <w:rPr>
          <w:rFonts w:ascii="Century Gothic" w:hAnsi="Century Gothic"/>
          <w:sz w:val="22"/>
          <w:szCs w:val="22"/>
        </w:rPr>
        <w:t>)</w:t>
      </w:r>
      <w:proofErr w:type="gramEnd"/>
    </w:p>
    <w:p w:rsidR="00382D73" w:rsidRPr="005A36E3" w:rsidRDefault="00382D73" w:rsidP="00382D73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Century Gothic" w:hAnsi="Century Gothic" w:cs="Arial"/>
          <w:bCs/>
          <w:i/>
          <w:sz w:val="22"/>
          <w:szCs w:val="22"/>
        </w:rPr>
      </w:pPr>
      <w:r w:rsidRPr="00E076DF">
        <w:rPr>
          <w:rFonts w:ascii="Century Gothic" w:hAnsi="Century Gothic" w:cs="Arial"/>
          <w:bCs/>
          <w:sz w:val="22"/>
          <w:szCs w:val="22"/>
        </w:rPr>
        <w:t xml:space="preserve">Diante dessa conjuntura, há de se observar a diretriz do art. 87, § 2º, do Regimento Interno dos Juizados Especiais Federais, Turmas Recursais e Turma Regional de Uniformização da 1ª Região (Resolução </w:t>
      </w:r>
      <w:proofErr w:type="spellStart"/>
      <w:r w:rsidRPr="00E076DF">
        <w:rPr>
          <w:rFonts w:ascii="Century Gothic" w:hAnsi="Century Gothic" w:cs="Arial"/>
          <w:bCs/>
          <w:sz w:val="22"/>
          <w:szCs w:val="22"/>
        </w:rPr>
        <w:t>Presi</w:t>
      </w:r>
      <w:proofErr w:type="spellEnd"/>
      <w:r w:rsidRPr="00E076DF">
        <w:rPr>
          <w:rFonts w:ascii="Century Gothic" w:hAnsi="Century Gothic" w:cs="Arial"/>
          <w:bCs/>
          <w:sz w:val="22"/>
          <w:szCs w:val="22"/>
        </w:rPr>
        <w:t xml:space="preserve"> 17/2014), que assim </w:t>
      </w:r>
      <w:r w:rsidRPr="00E076DF">
        <w:rPr>
          <w:rFonts w:ascii="Century Gothic" w:hAnsi="Century Gothic" w:cs="Arial"/>
          <w:bCs/>
          <w:sz w:val="22"/>
          <w:szCs w:val="22"/>
        </w:rPr>
        <w:lastRenderedPageBreak/>
        <w:t xml:space="preserve">dispõe: </w:t>
      </w:r>
      <w:r w:rsidRPr="005A36E3">
        <w:rPr>
          <w:rFonts w:ascii="Century Gothic" w:hAnsi="Century Gothic" w:cs="Arial"/>
          <w:bCs/>
          <w:i/>
          <w:sz w:val="22"/>
          <w:szCs w:val="22"/>
        </w:rPr>
        <w:t>“não será admitido o incidente que versar matéria já decidida pela Turma Regional de Uniformização ou pela Turma Nacional de Uniformização”.</w:t>
      </w:r>
    </w:p>
    <w:p w:rsidR="00382D73" w:rsidRDefault="00382D73" w:rsidP="00382D73">
      <w:pPr>
        <w:pStyle w:val="Corpodetexto"/>
        <w:tabs>
          <w:tab w:val="left" w:pos="1701"/>
        </w:tabs>
        <w:spacing w:after="0" w:line="276" w:lineRule="auto"/>
        <w:ind w:firstLine="851"/>
        <w:jc w:val="both"/>
        <w:rPr>
          <w:rFonts w:ascii="Century Gothic" w:hAnsi="Century Gothic"/>
          <w:b w:val="0"/>
          <w:bCs w:val="0"/>
          <w:sz w:val="22"/>
          <w:szCs w:val="22"/>
          <w:shd w:val="clear" w:color="auto" w:fill="FFFFFF"/>
        </w:rPr>
      </w:pPr>
      <w:r>
        <w:rPr>
          <w:rFonts w:ascii="Century Gothic" w:hAnsi="Century Gothic"/>
          <w:b w:val="0"/>
          <w:bCs w:val="0"/>
          <w:sz w:val="22"/>
          <w:szCs w:val="22"/>
          <w:shd w:val="clear" w:color="auto" w:fill="FFFFFF"/>
        </w:rPr>
        <w:t>Ante o exposto, inadmito o incidente.</w:t>
      </w:r>
    </w:p>
    <w:p w:rsidR="00382D73" w:rsidRDefault="00382D73" w:rsidP="00382D73">
      <w:pPr>
        <w:pStyle w:val="Corpodetexto"/>
        <w:tabs>
          <w:tab w:val="left" w:pos="1701"/>
        </w:tabs>
        <w:spacing w:after="0" w:line="276" w:lineRule="auto"/>
        <w:ind w:firstLine="851"/>
        <w:jc w:val="both"/>
        <w:rPr>
          <w:rFonts w:ascii="Century Gothic" w:hAnsi="Century Gothic"/>
          <w:b w:val="0"/>
          <w:bCs w:val="0"/>
          <w:sz w:val="22"/>
          <w:szCs w:val="22"/>
          <w:shd w:val="clear" w:color="auto" w:fill="FFFFFF"/>
        </w:rPr>
      </w:pPr>
    </w:p>
    <w:p w:rsidR="00382D73" w:rsidRDefault="00382D73" w:rsidP="00382D73">
      <w:pPr>
        <w:pStyle w:val="Corpodetexto"/>
        <w:tabs>
          <w:tab w:val="left" w:pos="1701"/>
        </w:tabs>
        <w:spacing w:line="276" w:lineRule="auto"/>
        <w:ind w:firstLine="851"/>
        <w:jc w:val="both"/>
        <w:rPr>
          <w:rFonts w:ascii="Century Gothic" w:hAnsi="Century Gothic"/>
          <w:b w:val="0"/>
          <w:sz w:val="22"/>
          <w:szCs w:val="22"/>
        </w:rPr>
      </w:pPr>
      <w:r>
        <w:rPr>
          <w:rFonts w:ascii="Century Gothic" w:hAnsi="Century Gothic"/>
          <w:b w:val="0"/>
          <w:noProof/>
          <w:sz w:val="22"/>
          <w:szCs w:val="22"/>
        </w:rPr>
        <w:t>P.R.I.</w:t>
      </w:r>
    </w:p>
    <w:p w:rsidR="00382D73" w:rsidRDefault="00382D73" w:rsidP="00382D73">
      <w:pPr>
        <w:pStyle w:val="Corpodetexto"/>
        <w:tabs>
          <w:tab w:val="left" w:pos="1701"/>
        </w:tabs>
        <w:spacing w:line="276" w:lineRule="auto"/>
        <w:ind w:firstLine="851"/>
        <w:jc w:val="both"/>
        <w:rPr>
          <w:rFonts w:ascii="Century Gothic" w:hAnsi="Century Gothic"/>
          <w:b w:val="0"/>
          <w:sz w:val="22"/>
          <w:szCs w:val="22"/>
        </w:rPr>
      </w:pPr>
      <w:r>
        <w:rPr>
          <w:rFonts w:ascii="Century Gothic" w:hAnsi="Century Gothic"/>
          <w:b w:val="0"/>
          <w:sz w:val="22"/>
          <w:szCs w:val="22"/>
        </w:rPr>
        <w:t>Juiz de Fora/M</w:t>
      </w:r>
      <w:r w:rsidR="0063592A">
        <w:rPr>
          <w:rFonts w:ascii="Century Gothic" w:hAnsi="Century Gothic"/>
          <w:b w:val="0"/>
          <w:sz w:val="22"/>
          <w:szCs w:val="22"/>
        </w:rPr>
        <w:t xml:space="preserve">G, data da assinatura </w:t>
      </w:r>
      <w:proofErr w:type="gramStart"/>
      <w:r w:rsidR="0063592A">
        <w:rPr>
          <w:rFonts w:ascii="Century Gothic" w:hAnsi="Century Gothic"/>
          <w:b w:val="0"/>
          <w:sz w:val="22"/>
          <w:szCs w:val="22"/>
        </w:rPr>
        <w:t>eletrônica</w:t>
      </w:r>
      <w:proofErr w:type="gramEnd"/>
    </w:p>
    <w:p w:rsidR="00382D73" w:rsidRDefault="00382D73" w:rsidP="00382D73">
      <w:pPr>
        <w:ind w:firstLine="851"/>
        <w:rPr>
          <w:rFonts w:ascii="Arial" w:hAnsi="Arial" w:cs="Arial"/>
          <w:sz w:val="22"/>
          <w:szCs w:val="22"/>
        </w:rPr>
      </w:pPr>
    </w:p>
    <w:p w:rsidR="00382D73" w:rsidRPr="00A765E5" w:rsidRDefault="00382D73" w:rsidP="00382D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entury Gothic" w:hAnsi="Century Gothic"/>
          <w:b/>
          <w:sz w:val="22"/>
          <w:szCs w:val="22"/>
          <w:lang w:val="pt-PT"/>
        </w:rPr>
      </w:pPr>
      <w:r>
        <w:rPr>
          <w:rFonts w:ascii="Arial" w:hAnsi="Arial" w:cs="Arial"/>
          <w:b/>
          <w:sz w:val="22"/>
          <w:szCs w:val="22"/>
        </w:rPr>
        <w:t xml:space="preserve">                 </w:t>
      </w:r>
      <w:r w:rsidRPr="00A765E5">
        <w:rPr>
          <w:rFonts w:ascii="Century Gothic" w:hAnsi="Century Gothic"/>
          <w:b/>
          <w:sz w:val="22"/>
          <w:szCs w:val="22"/>
          <w:lang w:val="pt-PT"/>
        </w:rPr>
        <w:t>Juiz Federal Guilherme Fabiano Julien de Rezende</w:t>
      </w:r>
    </w:p>
    <w:p w:rsidR="00382D73" w:rsidRPr="00A765E5" w:rsidRDefault="0063592A" w:rsidP="00382D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entury Gothic" w:hAnsi="Century Gothic"/>
          <w:b/>
          <w:sz w:val="22"/>
          <w:szCs w:val="22"/>
          <w:lang w:val="pt-PT"/>
        </w:rPr>
      </w:pPr>
      <w:r>
        <w:rPr>
          <w:rFonts w:ascii="Century Gothic" w:hAnsi="Century Gothic"/>
          <w:b/>
          <w:sz w:val="22"/>
          <w:szCs w:val="22"/>
          <w:lang w:val="pt-PT"/>
        </w:rPr>
        <w:t xml:space="preserve"> </w:t>
      </w:r>
      <w:r w:rsidR="00382D73" w:rsidRPr="00A765E5">
        <w:rPr>
          <w:rFonts w:ascii="Century Gothic" w:hAnsi="Century Gothic"/>
          <w:b/>
          <w:sz w:val="22"/>
          <w:szCs w:val="22"/>
          <w:lang w:val="pt-PT"/>
        </w:rPr>
        <w:t>Relator</w:t>
      </w:r>
    </w:p>
    <w:p w:rsidR="00382D73" w:rsidRPr="00A765E5" w:rsidRDefault="00382D73" w:rsidP="00382D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Century Gothic" w:hAnsi="Century Gothic"/>
          <w:b/>
          <w:sz w:val="22"/>
          <w:szCs w:val="22"/>
          <w:lang w:val="pt-PT"/>
        </w:rPr>
      </w:pPr>
    </w:p>
    <w:p w:rsidR="00382D73" w:rsidRDefault="00382D73" w:rsidP="00382D73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82D73" w:rsidRDefault="00382D73" w:rsidP="00382D73"/>
    <w:p w:rsidR="00382D73" w:rsidRDefault="00382D73" w:rsidP="00382D73"/>
    <w:p w:rsidR="00F4405E" w:rsidRDefault="00F4405E"/>
    <w:sectPr w:rsidR="00F4405E" w:rsidSect="00775AD1">
      <w:headerReference w:type="default" r:id="rId6"/>
      <w:pgSz w:w="11906" w:h="16838"/>
      <w:pgMar w:top="1417" w:right="1701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17F" w:rsidRDefault="001C717F" w:rsidP="001C717F">
      <w:r>
        <w:separator/>
      </w:r>
    </w:p>
  </w:endnote>
  <w:endnote w:type="continuationSeparator" w:id="0">
    <w:p w:rsidR="001C717F" w:rsidRDefault="001C717F" w:rsidP="001C7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17F" w:rsidRDefault="001C717F" w:rsidP="001C717F">
      <w:r>
        <w:separator/>
      </w:r>
    </w:p>
  </w:footnote>
  <w:footnote w:type="continuationSeparator" w:id="0">
    <w:p w:rsidR="001C717F" w:rsidRDefault="001C717F" w:rsidP="001C71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AD1" w:rsidRPr="0058164C" w:rsidRDefault="0063592A" w:rsidP="00775AD1">
    <w:pPr>
      <w:pStyle w:val="Ttulo"/>
      <w:rPr>
        <w:sz w:val="22"/>
        <w:szCs w:val="22"/>
      </w:rPr>
    </w:pPr>
    <w:r>
      <w:rPr>
        <w:b w:val="0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2085547</wp:posOffset>
          </wp:positionH>
          <wp:positionV relativeFrom="paragraph">
            <wp:posOffset>-123279</wp:posOffset>
          </wp:positionV>
          <wp:extent cx="1249045" cy="1050925"/>
          <wp:effectExtent l="0" t="0" r="8255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04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75AD1" w:rsidRPr="0058164C" w:rsidRDefault="00BC6CA9" w:rsidP="00775AD1">
    <w:pPr>
      <w:pStyle w:val="Ttulo"/>
      <w:rPr>
        <w:sz w:val="22"/>
        <w:szCs w:val="22"/>
      </w:rPr>
    </w:pPr>
  </w:p>
  <w:p w:rsidR="00775AD1" w:rsidRDefault="00BC6CA9" w:rsidP="00775AD1">
    <w:pPr>
      <w:pStyle w:val="Ttulo"/>
      <w:rPr>
        <w:b w:val="0"/>
        <w:sz w:val="22"/>
        <w:szCs w:val="22"/>
      </w:rPr>
    </w:pPr>
  </w:p>
  <w:p w:rsidR="00775AD1" w:rsidRDefault="00BC6CA9" w:rsidP="00775AD1">
    <w:pPr>
      <w:pStyle w:val="Ttulo"/>
      <w:rPr>
        <w:b w:val="0"/>
        <w:sz w:val="22"/>
        <w:szCs w:val="22"/>
      </w:rPr>
    </w:pPr>
  </w:p>
  <w:p w:rsidR="00775AD1" w:rsidRDefault="00BC6CA9" w:rsidP="00775AD1">
    <w:pPr>
      <w:pStyle w:val="Ttulo"/>
      <w:rPr>
        <w:b w:val="0"/>
        <w:sz w:val="22"/>
        <w:szCs w:val="22"/>
      </w:rPr>
    </w:pPr>
  </w:p>
  <w:p w:rsidR="00775AD1" w:rsidRDefault="00BC6CA9" w:rsidP="00775AD1">
    <w:pPr>
      <w:pStyle w:val="Ttulo"/>
      <w:rPr>
        <w:b w:val="0"/>
        <w:sz w:val="22"/>
        <w:szCs w:val="22"/>
      </w:rPr>
    </w:pPr>
  </w:p>
  <w:p w:rsidR="00775AD1" w:rsidRPr="0023279F" w:rsidRDefault="0063592A" w:rsidP="00775AD1">
    <w:pPr>
      <w:pStyle w:val="Ttulo"/>
      <w:rPr>
        <w:b w:val="0"/>
        <w:sz w:val="22"/>
        <w:szCs w:val="22"/>
      </w:rPr>
    </w:pPr>
    <w:r w:rsidRPr="0023279F">
      <w:rPr>
        <w:b w:val="0"/>
        <w:sz w:val="22"/>
        <w:szCs w:val="22"/>
      </w:rPr>
      <w:t>PODER JUDICIÁRIO</w:t>
    </w:r>
  </w:p>
  <w:p w:rsidR="00775AD1" w:rsidRPr="0023279F" w:rsidRDefault="0063592A" w:rsidP="00775AD1">
    <w:pPr>
      <w:pStyle w:val="Ttulo5"/>
      <w:spacing w:line="240" w:lineRule="auto"/>
      <w:ind w:firstLine="0"/>
      <w:jc w:val="center"/>
      <w:rPr>
        <w:rFonts w:ascii="Times New Roman" w:hAnsi="Times New Roman" w:cs="Times New Roman"/>
        <w:b w:val="0"/>
        <w:sz w:val="22"/>
      </w:rPr>
    </w:pPr>
    <w:r w:rsidRPr="0023279F">
      <w:rPr>
        <w:rFonts w:ascii="Times New Roman" w:hAnsi="Times New Roman" w:cs="Times New Roman"/>
        <w:b w:val="0"/>
        <w:sz w:val="22"/>
      </w:rPr>
      <w:t>JUSTIÇA FEDERAL</w:t>
    </w:r>
  </w:p>
  <w:p w:rsidR="00775AD1" w:rsidRPr="0023279F" w:rsidRDefault="0063592A" w:rsidP="00775AD1">
    <w:pPr>
      <w:pStyle w:val="Ttulo5"/>
      <w:widowControl w:val="0"/>
      <w:spacing w:line="240" w:lineRule="auto"/>
      <w:ind w:firstLine="0"/>
      <w:jc w:val="center"/>
      <w:rPr>
        <w:rFonts w:ascii="Times New Roman" w:hAnsi="Times New Roman" w:cs="Times New Roman"/>
        <w:b w:val="0"/>
        <w:sz w:val="22"/>
      </w:rPr>
    </w:pPr>
    <w:r w:rsidRPr="0023279F">
      <w:rPr>
        <w:rFonts w:ascii="Times New Roman" w:hAnsi="Times New Roman" w:cs="Times New Roman"/>
        <w:b w:val="0"/>
        <w:sz w:val="22"/>
      </w:rPr>
      <w:t>TURMA REGIONAL DE UNIFORMIZAÇÃO DE JURISPRUDÊNCIA</w:t>
    </w:r>
  </w:p>
  <w:p w:rsidR="00775AD1" w:rsidRPr="00775AD1" w:rsidRDefault="0063592A" w:rsidP="00775AD1">
    <w:pPr>
      <w:pStyle w:val="Ttulo5"/>
      <w:widowControl w:val="0"/>
      <w:spacing w:line="240" w:lineRule="auto"/>
      <w:ind w:firstLine="0"/>
      <w:jc w:val="center"/>
      <w:rPr>
        <w:rFonts w:ascii="Times New Roman" w:hAnsi="Times New Roman" w:cs="Times New Roman"/>
        <w:b w:val="0"/>
        <w:sz w:val="22"/>
      </w:rPr>
    </w:pPr>
    <w:r w:rsidRPr="0023279F">
      <w:rPr>
        <w:rFonts w:ascii="Times New Roman" w:hAnsi="Times New Roman" w:cs="Times New Roman"/>
        <w:b w:val="0"/>
        <w:sz w:val="22"/>
      </w:rPr>
      <w:t xml:space="preserve">DOS JUIZADOS </w:t>
    </w:r>
    <w:r>
      <w:rPr>
        <w:rFonts w:ascii="Times New Roman" w:hAnsi="Times New Roman" w:cs="Times New Roman"/>
        <w:b w:val="0"/>
        <w:sz w:val="22"/>
      </w:rPr>
      <w:t>ESPECIAIS FEDERAIS DA 1ª REGIÃO</w:t>
    </w:r>
  </w:p>
  <w:p w:rsidR="00775AD1" w:rsidRDefault="00BC6CA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2D73"/>
    <w:rsid w:val="001C717F"/>
    <w:rsid w:val="00382D73"/>
    <w:rsid w:val="00600127"/>
    <w:rsid w:val="0063592A"/>
    <w:rsid w:val="00BC6CA9"/>
    <w:rsid w:val="00F44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D7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382D73"/>
    <w:pPr>
      <w:keepNext/>
      <w:tabs>
        <w:tab w:val="left" w:pos="1985"/>
      </w:tabs>
      <w:overflowPunct w:val="0"/>
      <w:autoSpaceDE w:val="0"/>
      <w:autoSpaceDN w:val="0"/>
      <w:adjustRightInd w:val="0"/>
      <w:spacing w:line="360" w:lineRule="auto"/>
      <w:ind w:firstLine="1980"/>
      <w:jc w:val="both"/>
      <w:textAlignment w:val="baseline"/>
      <w:outlineLvl w:val="4"/>
    </w:pPr>
    <w:rPr>
      <w:rFonts w:ascii="Arial" w:eastAsia="Times New Roman" w:hAnsi="Arial" w:cs="Courier New"/>
      <w:b/>
      <w:bCs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382D73"/>
    <w:rPr>
      <w:rFonts w:ascii="Arial" w:eastAsia="Times New Roman" w:hAnsi="Arial" w:cs="Courier New"/>
      <w:b/>
      <w:bCs/>
      <w:sz w:val="24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382D73"/>
    <w:pPr>
      <w:spacing w:after="120"/>
    </w:pPr>
    <w:rPr>
      <w:rFonts w:ascii="Arial" w:eastAsia="Times New Roman" w:hAnsi="Arial" w:cs="Arial"/>
      <w:b/>
      <w:bCs/>
    </w:rPr>
  </w:style>
  <w:style w:type="character" w:customStyle="1" w:styleId="CorpodetextoChar">
    <w:name w:val="Corpo de texto Char"/>
    <w:basedOn w:val="Fontepargpadro"/>
    <w:link w:val="Corpodetexto"/>
    <w:semiHidden/>
    <w:rsid w:val="00382D73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Identificao">
    <w:name w:val="Identificação"/>
    <w:basedOn w:val="Normal"/>
    <w:rsid w:val="00382D73"/>
    <w:pPr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382D73"/>
    <w:pPr>
      <w:spacing w:before="100" w:beforeAutospacing="1" w:after="100" w:afterAutospacing="1"/>
    </w:pPr>
    <w:rPr>
      <w:rFonts w:eastAsia="Times New Roman"/>
    </w:rPr>
  </w:style>
  <w:style w:type="paragraph" w:styleId="Cabealho">
    <w:name w:val="header"/>
    <w:basedOn w:val="Normal"/>
    <w:link w:val="CabealhoChar"/>
    <w:uiPriority w:val="99"/>
    <w:unhideWhenUsed/>
    <w:rsid w:val="00382D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2D73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382D73"/>
    <w:pPr>
      <w:jc w:val="center"/>
    </w:pPr>
    <w:rPr>
      <w:rFonts w:eastAsia="Times New Roman"/>
      <w:b/>
      <w:sz w:val="20"/>
      <w:szCs w:val="20"/>
    </w:rPr>
  </w:style>
  <w:style w:type="character" w:customStyle="1" w:styleId="TtuloChar">
    <w:name w:val="Título Char"/>
    <w:basedOn w:val="Fontepargpadro"/>
    <w:link w:val="Ttulo"/>
    <w:rsid w:val="00382D73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590</Words>
  <Characters>3186</Characters>
  <Application>Microsoft Office Word</Application>
  <DocSecurity>0</DocSecurity>
  <Lines>26</Lines>
  <Paragraphs>7</Paragraphs>
  <ScaleCrop>false</ScaleCrop>
  <Company>TRF1</Company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mg151203</dc:creator>
  <cp:lastModifiedBy>TR301477</cp:lastModifiedBy>
  <cp:revision>3</cp:revision>
  <dcterms:created xsi:type="dcterms:W3CDTF">2020-10-17T19:55:00Z</dcterms:created>
  <dcterms:modified xsi:type="dcterms:W3CDTF">2020-12-09T15:04:00Z</dcterms:modified>
</cp:coreProperties>
</file>