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87B" w:rsidRDefault="00D3387B"/>
    <w:tbl>
      <w:tblPr>
        <w:tblW w:w="12275" w:type="dxa"/>
        <w:tblBorders>
          <w:bottom w:val="single" w:sz="4" w:space="0" w:color="auto"/>
        </w:tblBorders>
        <w:tblLayout w:type="fixed"/>
        <w:tblLook w:val="01E0"/>
      </w:tblPr>
      <w:tblGrid>
        <w:gridCol w:w="8897"/>
        <w:gridCol w:w="1848"/>
        <w:gridCol w:w="957"/>
        <w:gridCol w:w="573"/>
      </w:tblGrid>
      <w:tr w:rsidR="00826642" w:rsidRPr="008B5A05" w:rsidTr="0012762D">
        <w:trPr>
          <w:gridAfter w:val="1"/>
          <w:wAfter w:w="573" w:type="dxa"/>
          <w:trHeight w:val="273"/>
        </w:trPr>
        <w:tc>
          <w:tcPr>
            <w:tcW w:w="8897" w:type="dxa"/>
            <w:tcBorders>
              <w:top w:val="nil"/>
              <w:left w:val="nil"/>
              <w:bottom w:val="nil"/>
              <w:right w:val="nil"/>
            </w:tcBorders>
            <w:hideMark/>
          </w:tcPr>
          <w:p w:rsidR="004845B3" w:rsidRPr="008B5A05" w:rsidRDefault="00566064" w:rsidP="004845B3">
            <w:pPr>
              <w:tabs>
                <w:tab w:val="left" w:pos="2552"/>
                <w:tab w:val="left" w:pos="2694"/>
              </w:tabs>
              <w:spacing w:line="256" w:lineRule="auto"/>
              <w:ind w:left="-142"/>
              <w:jc w:val="both"/>
              <w:rPr>
                <w:rFonts w:ascii="Times New Roman" w:hAnsi="Times New Roman" w:cs="Times New Roman"/>
                <w:b/>
                <w:bCs/>
                <w:sz w:val="24"/>
                <w:szCs w:val="24"/>
              </w:rPr>
            </w:pPr>
            <w:r>
              <w:rPr>
                <w:rFonts w:ascii="Times New Roman" w:hAnsi="Times New Roman" w:cs="Times New Roman"/>
                <w:b/>
                <w:bCs/>
                <w:sz w:val="24"/>
                <w:szCs w:val="24"/>
              </w:rPr>
              <w:t xml:space="preserve">AGRAVO INTERNO EM </w:t>
            </w:r>
            <w:r w:rsidR="004845B3" w:rsidRPr="008B5A05">
              <w:rPr>
                <w:rFonts w:ascii="Times New Roman" w:hAnsi="Times New Roman" w:cs="Times New Roman"/>
                <w:b/>
                <w:bCs/>
                <w:sz w:val="24"/>
                <w:szCs w:val="24"/>
              </w:rPr>
              <w:t>P</w:t>
            </w:r>
            <w:r>
              <w:rPr>
                <w:rFonts w:ascii="Times New Roman" w:hAnsi="Times New Roman" w:cs="Times New Roman"/>
                <w:b/>
                <w:bCs/>
                <w:sz w:val="24"/>
                <w:szCs w:val="24"/>
              </w:rPr>
              <w:t xml:space="preserve">EDIDO DE </w:t>
            </w:r>
            <w:r w:rsidR="004845B3" w:rsidRPr="008B5A05">
              <w:rPr>
                <w:rFonts w:ascii="Times New Roman" w:hAnsi="Times New Roman" w:cs="Times New Roman"/>
                <w:b/>
                <w:bCs/>
                <w:sz w:val="24"/>
                <w:szCs w:val="24"/>
              </w:rPr>
              <w:t>U</w:t>
            </w:r>
            <w:r>
              <w:rPr>
                <w:rFonts w:ascii="Times New Roman" w:hAnsi="Times New Roman" w:cs="Times New Roman"/>
                <w:b/>
                <w:bCs/>
                <w:sz w:val="24"/>
                <w:szCs w:val="24"/>
              </w:rPr>
              <w:t>NIFORMIZAÇÃO DE JURISPRUDÊNCIA</w:t>
            </w:r>
            <w:r w:rsidR="004845B3" w:rsidRPr="008B5A05">
              <w:rPr>
                <w:rFonts w:ascii="Times New Roman" w:hAnsi="Times New Roman" w:cs="Times New Roman"/>
                <w:b/>
                <w:bCs/>
                <w:sz w:val="24"/>
                <w:szCs w:val="24"/>
              </w:rPr>
              <w:t xml:space="preserve"> </w:t>
            </w:r>
          </w:p>
          <w:p w:rsidR="00566064" w:rsidRPr="008B5A05" w:rsidRDefault="00566064" w:rsidP="00566064">
            <w:pPr>
              <w:tabs>
                <w:tab w:val="left" w:pos="2552"/>
                <w:tab w:val="left" w:pos="2694"/>
              </w:tabs>
              <w:spacing w:line="256" w:lineRule="auto"/>
              <w:ind w:left="-142"/>
              <w:jc w:val="both"/>
              <w:rPr>
                <w:rFonts w:ascii="Times New Roman" w:hAnsi="Times New Roman" w:cs="Times New Roman"/>
                <w:b/>
                <w:bCs/>
                <w:sz w:val="24"/>
                <w:szCs w:val="24"/>
              </w:rPr>
            </w:pPr>
            <w:r w:rsidRPr="008B5A05">
              <w:rPr>
                <w:rFonts w:ascii="Times New Roman" w:eastAsia="Times New Roman" w:hAnsi="Times New Roman" w:cs="Times New Roman"/>
                <w:b/>
                <w:bCs/>
                <w:sz w:val="24"/>
                <w:szCs w:val="24"/>
                <w:lang w:eastAsia="pt-BR"/>
              </w:rPr>
              <w:t>PROCESSO:</w:t>
            </w:r>
            <w:proofErr w:type="gramStart"/>
            <w:r w:rsidRPr="008B5A05">
              <w:rPr>
                <w:rFonts w:ascii="Times New Roman" w:eastAsia="Times New Roman" w:hAnsi="Times New Roman" w:cs="Times New Roman"/>
                <w:b/>
                <w:bCs/>
                <w:sz w:val="24"/>
                <w:szCs w:val="24"/>
                <w:lang w:eastAsia="pt-BR"/>
              </w:rPr>
              <w:t xml:space="preserve">   </w:t>
            </w:r>
            <w:proofErr w:type="gramEnd"/>
            <w:r w:rsidRPr="008B5A05">
              <w:rPr>
                <w:rFonts w:ascii="Times New Roman" w:hAnsi="Times New Roman" w:cs="Times New Roman"/>
                <w:b/>
                <w:bCs/>
                <w:sz w:val="24"/>
                <w:szCs w:val="24"/>
              </w:rPr>
              <w:t>0024683-02.2011.4.01.3800/</w:t>
            </w:r>
            <w:proofErr w:type="spellStart"/>
            <w:r>
              <w:rPr>
                <w:rFonts w:ascii="Times New Roman" w:hAnsi="Times New Roman" w:cs="Times New Roman"/>
                <w:b/>
                <w:bCs/>
                <w:sz w:val="24"/>
                <w:szCs w:val="24"/>
              </w:rPr>
              <w:t>df</w:t>
            </w:r>
            <w:proofErr w:type="spellEnd"/>
          </w:p>
          <w:p w:rsidR="00566064" w:rsidRPr="008B5A05" w:rsidRDefault="00566064" w:rsidP="00566064">
            <w:pPr>
              <w:spacing w:after="0" w:line="240" w:lineRule="auto"/>
              <w:jc w:val="both"/>
              <w:rPr>
                <w:rFonts w:ascii="Times New Roman" w:eastAsia="Times New Roman" w:hAnsi="Times New Roman" w:cs="Times New Roman"/>
                <w:sz w:val="24"/>
                <w:szCs w:val="24"/>
              </w:rPr>
            </w:pPr>
            <w:r w:rsidRPr="008B5A05">
              <w:rPr>
                <w:rFonts w:ascii="Times New Roman" w:eastAsia="Times New Roman" w:hAnsi="Times New Roman" w:cs="Times New Roman"/>
                <w:b/>
                <w:bCs/>
                <w:sz w:val="24"/>
                <w:szCs w:val="24"/>
                <w:lang w:eastAsia="pt-BR"/>
              </w:rPr>
              <w:t>N. de origem:</w:t>
            </w:r>
            <w:proofErr w:type="gramStart"/>
            <w:r w:rsidRPr="008B5A05">
              <w:rPr>
                <w:rFonts w:ascii="Times New Roman" w:eastAsia="Times New Roman" w:hAnsi="Times New Roman" w:cs="Times New Roman"/>
                <w:b/>
                <w:bCs/>
                <w:sz w:val="24"/>
                <w:szCs w:val="24"/>
                <w:lang w:eastAsia="pt-BR"/>
              </w:rPr>
              <w:t xml:space="preserve">   </w:t>
            </w:r>
            <w:proofErr w:type="gramEnd"/>
            <w:r w:rsidRPr="008B5A05">
              <w:rPr>
                <w:rFonts w:ascii="Times New Roman" w:eastAsia="Times New Roman" w:hAnsi="Times New Roman" w:cs="Times New Roman"/>
                <w:bCs/>
                <w:sz w:val="24"/>
                <w:szCs w:val="24"/>
                <w:lang w:eastAsia="pt-BR"/>
              </w:rPr>
              <w:t>201</w:t>
            </w:r>
            <w:r>
              <w:rPr>
                <w:rFonts w:ascii="Times New Roman" w:eastAsia="Times New Roman" w:hAnsi="Times New Roman" w:cs="Times New Roman"/>
                <w:bCs/>
                <w:sz w:val="24"/>
                <w:szCs w:val="24"/>
                <w:lang w:eastAsia="pt-BR"/>
              </w:rPr>
              <w:t>1</w:t>
            </w:r>
            <w:r w:rsidRPr="008B5A05">
              <w:rPr>
                <w:rFonts w:ascii="Times New Roman" w:eastAsia="Times New Roman" w:hAnsi="Times New Roman" w:cs="Times New Roman"/>
                <w:bCs/>
                <w:sz w:val="24"/>
                <w:szCs w:val="24"/>
                <w:lang w:eastAsia="pt-BR"/>
              </w:rPr>
              <w:t>.3</w:t>
            </w:r>
            <w:r>
              <w:rPr>
                <w:rFonts w:ascii="Times New Roman" w:eastAsia="Times New Roman" w:hAnsi="Times New Roman" w:cs="Times New Roman"/>
                <w:bCs/>
                <w:sz w:val="24"/>
                <w:szCs w:val="24"/>
                <w:lang w:eastAsia="pt-BR"/>
              </w:rPr>
              <w:t>8</w:t>
            </w:r>
            <w:r w:rsidRPr="008B5A05">
              <w:rPr>
                <w:rFonts w:ascii="Times New Roman" w:eastAsia="Times New Roman" w:hAnsi="Times New Roman" w:cs="Times New Roman"/>
                <w:bCs/>
                <w:sz w:val="24"/>
                <w:szCs w:val="24"/>
                <w:lang w:eastAsia="pt-BR"/>
              </w:rPr>
              <w:t>.00</w:t>
            </w:r>
            <w:r>
              <w:rPr>
                <w:rFonts w:ascii="Times New Roman" w:eastAsia="Times New Roman" w:hAnsi="Times New Roman" w:cs="Times New Roman"/>
                <w:bCs/>
                <w:sz w:val="24"/>
                <w:szCs w:val="24"/>
                <w:lang w:eastAsia="pt-BR"/>
              </w:rPr>
              <w:t>.935292</w:t>
            </w:r>
            <w:r w:rsidRPr="008B5A05">
              <w:rPr>
                <w:rFonts w:ascii="Times New Roman" w:eastAsia="Times New Roman" w:hAnsi="Times New Roman" w:cs="Times New Roman"/>
                <w:bCs/>
                <w:sz w:val="24"/>
                <w:szCs w:val="24"/>
                <w:lang w:eastAsia="pt-BR"/>
              </w:rPr>
              <w:t>-</w:t>
            </w:r>
            <w:r>
              <w:rPr>
                <w:rFonts w:ascii="Times New Roman" w:eastAsia="Times New Roman" w:hAnsi="Times New Roman" w:cs="Times New Roman"/>
                <w:bCs/>
                <w:sz w:val="24"/>
                <w:szCs w:val="24"/>
                <w:lang w:eastAsia="pt-BR"/>
              </w:rPr>
              <w:t>7</w:t>
            </w:r>
            <w:r w:rsidRPr="008B5A05">
              <w:rPr>
                <w:rFonts w:ascii="Times New Roman" w:eastAsia="Times New Roman" w:hAnsi="Times New Roman" w:cs="Times New Roman"/>
                <w:sz w:val="24"/>
                <w:szCs w:val="24"/>
              </w:rPr>
              <w:t>/DF</w:t>
            </w:r>
          </w:p>
          <w:p w:rsidR="00566064" w:rsidRPr="008B5A05" w:rsidRDefault="00566064" w:rsidP="00566064">
            <w:pPr>
              <w:spacing w:after="0" w:line="240" w:lineRule="auto"/>
              <w:jc w:val="both"/>
              <w:rPr>
                <w:rFonts w:ascii="Times New Roman" w:eastAsia="Times New Roman" w:hAnsi="Times New Roman" w:cs="Times New Roman"/>
                <w:sz w:val="24"/>
                <w:szCs w:val="24"/>
              </w:rPr>
            </w:pPr>
            <w:r w:rsidRPr="008B5A05">
              <w:rPr>
                <w:rFonts w:ascii="Times New Roman" w:eastAsia="Times New Roman" w:hAnsi="Times New Roman" w:cs="Times New Roman"/>
                <w:sz w:val="24"/>
                <w:szCs w:val="24"/>
              </w:rPr>
              <w:t xml:space="preserve">Origem:            </w:t>
            </w:r>
            <w:r>
              <w:rPr>
                <w:rFonts w:ascii="Times New Roman" w:eastAsia="Times New Roman" w:hAnsi="Times New Roman" w:cs="Times New Roman"/>
                <w:sz w:val="24"/>
                <w:szCs w:val="24"/>
              </w:rPr>
              <w:t>Nilson Jorge Costa Guimarães</w:t>
            </w:r>
          </w:p>
          <w:p w:rsidR="00566064" w:rsidRPr="008B5A05" w:rsidRDefault="00566064" w:rsidP="00566064">
            <w:pPr>
              <w:tabs>
                <w:tab w:val="left" w:pos="2552"/>
                <w:tab w:val="left" w:pos="2694"/>
              </w:tabs>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Agravada</w:t>
            </w:r>
            <w:r w:rsidRPr="008B5A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ANA LUIZA GAZZOLA CASTRO</w:t>
            </w:r>
          </w:p>
          <w:p w:rsidR="00566064" w:rsidRDefault="00566064" w:rsidP="00566064">
            <w:pPr>
              <w:tabs>
                <w:tab w:val="left" w:pos="2552"/>
                <w:tab w:val="left" w:pos="2694"/>
              </w:tabs>
              <w:spacing w:after="0" w:line="256" w:lineRule="auto"/>
              <w:jc w:val="both"/>
              <w:rPr>
                <w:rFonts w:ascii="Times New Roman" w:eastAsia="Times New Roman" w:hAnsi="Times New Roman" w:cs="Times New Roman"/>
                <w:sz w:val="24"/>
                <w:szCs w:val="24"/>
              </w:rPr>
            </w:pPr>
            <w:r w:rsidRPr="008B5A05">
              <w:rPr>
                <w:rFonts w:ascii="Times New Roman" w:eastAsia="Times New Roman" w:hAnsi="Times New Roman" w:cs="Times New Roman"/>
                <w:sz w:val="24"/>
                <w:szCs w:val="24"/>
              </w:rPr>
              <w:t>Advogado</w:t>
            </w:r>
            <w:r>
              <w:rPr>
                <w:rFonts w:ascii="Times New Roman" w:eastAsia="Times New Roman" w:hAnsi="Times New Roman" w:cs="Times New Roman"/>
                <w:sz w:val="24"/>
                <w:szCs w:val="24"/>
              </w:rPr>
              <w:t>s</w:t>
            </w:r>
            <w:r w:rsidRPr="008B5A05">
              <w:rPr>
                <w:rFonts w:ascii="Times New Roman" w:eastAsia="Times New Roman" w:hAnsi="Times New Roman" w:cs="Times New Roman"/>
                <w:sz w:val="24"/>
                <w:szCs w:val="24"/>
              </w:rPr>
              <w:t>:</w:t>
            </w:r>
            <w:proofErr w:type="gramStart"/>
            <w:r w:rsidRPr="008B5A05">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Adriana </w:t>
            </w:r>
            <w:proofErr w:type="spellStart"/>
            <w:r>
              <w:rPr>
                <w:rFonts w:ascii="Times New Roman" w:eastAsia="Times New Roman" w:hAnsi="Times New Roman" w:cs="Times New Roman"/>
                <w:sz w:val="24"/>
                <w:szCs w:val="24"/>
              </w:rPr>
              <w:t>Castranhaiera</w:t>
            </w:r>
            <w:proofErr w:type="spellEnd"/>
            <w:r>
              <w:rPr>
                <w:rFonts w:ascii="Times New Roman" w:eastAsia="Times New Roman" w:hAnsi="Times New Roman" w:cs="Times New Roman"/>
                <w:sz w:val="24"/>
                <w:szCs w:val="24"/>
              </w:rPr>
              <w:t xml:space="preserve"> OAB/MG 75.307</w:t>
            </w:r>
          </w:p>
          <w:p w:rsidR="00566064" w:rsidRPr="008B5A05" w:rsidRDefault="00566064" w:rsidP="00566064">
            <w:pPr>
              <w:tabs>
                <w:tab w:val="left" w:pos="2552"/>
                <w:tab w:val="left" w:pos="2694"/>
              </w:tabs>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Alberto David Jardim </w:t>
            </w:r>
            <w:proofErr w:type="spellStart"/>
            <w:r>
              <w:rPr>
                <w:rFonts w:ascii="Times New Roman" w:eastAsia="Times New Roman" w:hAnsi="Times New Roman" w:cs="Times New Roman"/>
                <w:sz w:val="24"/>
                <w:szCs w:val="24"/>
              </w:rPr>
              <w:t>Decal</w:t>
            </w:r>
            <w:proofErr w:type="spellEnd"/>
            <w:r>
              <w:rPr>
                <w:rFonts w:ascii="Times New Roman" w:eastAsia="Times New Roman" w:hAnsi="Times New Roman" w:cs="Times New Roman"/>
                <w:sz w:val="24"/>
                <w:szCs w:val="24"/>
              </w:rPr>
              <w:t xml:space="preserve"> Júnior - OAB/MG 81.723</w:t>
            </w:r>
          </w:p>
          <w:p w:rsidR="00D3387B" w:rsidRPr="004845B3" w:rsidRDefault="00D3387B" w:rsidP="004845B3">
            <w:pPr>
              <w:tabs>
                <w:tab w:val="left" w:pos="2552"/>
                <w:tab w:val="left" w:pos="2694"/>
              </w:tabs>
              <w:spacing w:line="256" w:lineRule="auto"/>
              <w:ind w:left="-142"/>
              <w:jc w:val="both"/>
              <w:rPr>
                <w:rFonts w:ascii="Times New Roman" w:hAnsi="Times New Roman" w:cs="Times New Roman"/>
                <w:b/>
                <w:bCs/>
                <w:sz w:val="24"/>
                <w:szCs w:val="24"/>
              </w:rPr>
            </w:pPr>
            <w:r w:rsidRPr="008B5A05">
              <w:rPr>
                <w:rFonts w:ascii="Times New Roman" w:eastAsia="Times New Roman" w:hAnsi="Times New Roman" w:cs="Times New Roman"/>
                <w:sz w:val="24"/>
                <w:szCs w:val="24"/>
              </w:rPr>
              <w:t xml:space="preserve">Relator:             Juiz Federal </w:t>
            </w:r>
            <w:r w:rsidRPr="008B5A05">
              <w:rPr>
                <w:rFonts w:ascii="Times New Roman" w:eastAsia="Times New Roman" w:hAnsi="Times New Roman" w:cs="Times New Roman"/>
                <w:b/>
                <w:sz w:val="24"/>
                <w:szCs w:val="24"/>
              </w:rPr>
              <w:t>Guilherme Fabiano Julien de Rezende</w:t>
            </w:r>
          </w:p>
          <w:p w:rsidR="00826642" w:rsidRPr="008B5A05" w:rsidRDefault="00826642" w:rsidP="0012762D">
            <w:pPr>
              <w:spacing w:after="0" w:line="256" w:lineRule="auto"/>
              <w:ind w:left="-105"/>
              <w:rPr>
                <w:rFonts w:ascii="Times New Roman" w:eastAsia="Times New Roman" w:hAnsi="Times New Roman" w:cs="Times New Roman"/>
                <w:sz w:val="24"/>
                <w:szCs w:val="24"/>
              </w:rPr>
            </w:pPr>
          </w:p>
        </w:tc>
        <w:tc>
          <w:tcPr>
            <w:tcW w:w="2805" w:type="dxa"/>
            <w:gridSpan w:val="2"/>
            <w:tcBorders>
              <w:top w:val="nil"/>
              <w:left w:val="nil"/>
              <w:bottom w:val="nil"/>
              <w:right w:val="nil"/>
            </w:tcBorders>
            <w:hideMark/>
          </w:tcPr>
          <w:p w:rsidR="00826642" w:rsidRPr="008B5A05" w:rsidRDefault="00826642" w:rsidP="0012762D">
            <w:pPr>
              <w:tabs>
                <w:tab w:val="left" w:pos="2552"/>
                <w:tab w:val="left" w:pos="2694"/>
              </w:tabs>
              <w:spacing w:after="0" w:line="256" w:lineRule="auto"/>
              <w:ind w:left="-105"/>
              <w:jc w:val="both"/>
              <w:rPr>
                <w:rFonts w:ascii="Times New Roman" w:eastAsia="Times New Roman" w:hAnsi="Times New Roman" w:cs="Times New Roman"/>
                <w:b/>
                <w:sz w:val="24"/>
                <w:szCs w:val="24"/>
              </w:rPr>
            </w:pPr>
          </w:p>
        </w:tc>
      </w:tr>
      <w:tr w:rsidR="00826642" w:rsidRPr="008B5A05" w:rsidTr="0012762D">
        <w:trPr>
          <w:trHeight w:val="703"/>
        </w:trPr>
        <w:tc>
          <w:tcPr>
            <w:tcW w:w="10745" w:type="dxa"/>
            <w:gridSpan w:val="2"/>
            <w:tcBorders>
              <w:top w:val="nil"/>
              <w:left w:val="nil"/>
              <w:bottom w:val="nil"/>
              <w:right w:val="nil"/>
            </w:tcBorders>
            <w:hideMark/>
          </w:tcPr>
          <w:p w:rsidR="00826642" w:rsidRPr="008B5A05" w:rsidRDefault="00826642" w:rsidP="0012762D">
            <w:pPr>
              <w:tabs>
                <w:tab w:val="left" w:pos="2552"/>
                <w:tab w:val="left" w:pos="2694"/>
              </w:tabs>
              <w:spacing w:after="0" w:line="256" w:lineRule="auto"/>
              <w:ind w:left="-105"/>
              <w:jc w:val="both"/>
              <w:rPr>
                <w:rFonts w:ascii="Times New Roman" w:eastAsia="Times New Roman" w:hAnsi="Times New Roman" w:cs="Times New Roman"/>
                <w:sz w:val="24"/>
                <w:szCs w:val="24"/>
              </w:rPr>
            </w:pPr>
          </w:p>
        </w:tc>
        <w:tc>
          <w:tcPr>
            <w:tcW w:w="1530" w:type="dxa"/>
            <w:gridSpan w:val="2"/>
            <w:tcBorders>
              <w:top w:val="nil"/>
              <w:left w:val="nil"/>
              <w:bottom w:val="nil"/>
              <w:right w:val="nil"/>
            </w:tcBorders>
            <w:hideMark/>
          </w:tcPr>
          <w:p w:rsidR="00826642" w:rsidRPr="008B5A05" w:rsidRDefault="00826642" w:rsidP="0012762D">
            <w:pPr>
              <w:tabs>
                <w:tab w:val="left" w:pos="2552"/>
                <w:tab w:val="left" w:pos="2694"/>
              </w:tabs>
              <w:spacing w:after="0" w:line="256" w:lineRule="auto"/>
              <w:ind w:left="890"/>
              <w:jc w:val="both"/>
              <w:rPr>
                <w:rFonts w:ascii="Times New Roman" w:eastAsia="Times New Roman" w:hAnsi="Times New Roman" w:cs="Times New Roman"/>
                <w:b/>
                <w:sz w:val="24"/>
                <w:szCs w:val="24"/>
              </w:rPr>
            </w:pPr>
          </w:p>
        </w:tc>
      </w:tr>
    </w:tbl>
    <w:p w:rsidR="00566064" w:rsidRPr="008B5A05" w:rsidRDefault="00566064" w:rsidP="00566064">
      <w:pPr>
        <w:tabs>
          <w:tab w:val="left" w:pos="2552"/>
          <w:tab w:val="left" w:pos="2694"/>
        </w:tabs>
        <w:spacing w:line="256" w:lineRule="auto"/>
        <w:ind w:left="-142"/>
        <w:jc w:val="center"/>
        <w:rPr>
          <w:rFonts w:ascii="Times New Roman" w:hAnsi="Times New Roman" w:cs="Times New Roman"/>
          <w:b/>
          <w:bCs/>
          <w:sz w:val="24"/>
          <w:szCs w:val="24"/>
        </w:rPr>
      </w:pPr>
      <w:r w:rsidRPr="008B5A05">
        <w:rPr>
          <w:rFonts w:ascii="Times New Roman" w:hAnsi="Times New Roman" w:cs="Times New Roman"/>
          <w:b/>
          <w:bCs/>
          <w:sz w:val="24"/>
          <w:szCs w:val="24"/>
        </w:rPr>
        <w:t>EMENTA - VOTO</w:t>
      </w:r>
    </w:p>
    <w:p w:rsidR="00566064" w:rsidRPr="008B5A05" w:rsidRDefault="00566064" w:rsidP="00566064">
      <w:pPr>
        <w:tabs>
          <w:tab w:val="left" w:pos="2552"/>
          <w:tab w:val="left" w:pos="2694"/>
        </w:tabs>
        <w:spacing w:line="256" w:lineRule="auto"/>
        <w:ind w:left="-142"/>
        <w:jc w:val="both"/>
        <w:rPr>
          <w:rFonts w:ascii="Times New Roman" w:hAnsi="Times New Roman" w:cs="Times New Roman"/>
          <w:b/>
          <w:bCs/>
          <w:sz w:val="24"/>
          <w:szCs w:val="24"/>
        </w:rPr>
      </w:pPr>
    </w:p>
    <w:p w:rsidR="00566064" w:rsidRPr="008B5A05" w:rsidRDefault="00566064" w:rsidP="00566064">
      <w:pPr>
        <w:tabs>
          <w:tab w:val="left" w:pos="2552"/>
          <w:tab w:val="left" w:pos="2694"/>
        </w:tabs>
        <w:spacing w:line="256" w:lineRule="auto"/>
        <w:ind w:left="-142"/>
        <w:jc w:val="both"/>
        <w:rPr>
          <w:rFonts w:ascii="Times New Roman" w:hAnsi="Times New Roman" w:cs="Times New Roman"/>
          <w:b/>
          <w:color w:val="000000" w:themeColor="text1"/>
          <w:sz w:val="24"/>
          <w:szCs w:val="24"/>
          <w:shd w:val="clear" w:color="auto" w:fill="FFFFFF"/>
        </w:rPr>
      </w:pPr>
      <w:r w:rsidRPr="008B5A05">
        <w:rPr>
          <w:rFonts w:ascii="Times New Roman" w:hAnsi="Times New Roman" w:cs="Times New Roman"/>
          <w:b/>
          <w:bCs/>
          <w:sz w:val="24"/>
          <w:szCs w:val="24"/>
        </w:rPr>
        <w:t xml:space="preserve">AGRAVO INTERNO. INCIDENTE DE UNIFORMIZAÇÃO REGIONAL. DIREITO ADMINISTRATIVO. SERVIDOR PÚBLICO. DNIT. PROGRESSÃO/PROMOÇÃO FUNCIONAL. </w:t>
      </w:r>
      <w:r w:rsidRPr="008B5A05">
        <w:rPr>
          <w:rFonts w:ascii="Times New Roman" w:hAnsi="Times New Roman" w:cs="Times New Roman"/>
          <w:b/>
          <w:color w:val="000000" w:themeColor="text1"/>
          <w:sz w:val="24"/>
          <w:szCs w:val="24"/>
          <w:shd w:val="clear" w:color="auto" w:fill="FFFFFF"/>
        </w:rPr>
        <w:t xml:space="preserve">LEI 11.171/2005. REGULAMENTAÇÃO. </w:t>
      </w:r>
      <w:r w:rsidRPr="008B5A05">
        <w:rPr>
          <w:rFonts w:ascii="Times New Roman" w:hAnsi="Times New Roman" w:cs="Times New Roman"/>
          <w:b/>
          <w:bCs/>
          <w:color w:val="000000" w:themeColor="text1"/>
          <w:sz w:val="24"/>
          <w:szCs w:val="24"/>
          <w:shd w:val="clear" w:color="auto" w:fill="FFFFFF"/>
        </w:rPr>
        <w:t>DECRETO</w:t>
      </w:r>
      <w:r w:rsidRPr="008B5A05">
        <w:rPr>
          <w:rFonts w:ascii="Times New Roman" w:hAnsi="Times New Roman" w:cs="Times New Roman"/>
          <w:b/>
          <w:color w:val="000000" w:themeColor="text1"/>
          <w:sz w:val="24"/>
          <w:szCs w:val="24"/>
          <w:shd w:val="clear" w:color="auto" w:fill="FFFFFF"/>
        </w:rPr>
        <w:t xml:space="preserve"> 7.629/2011. EFICÁCIA DO ART. 10 E 14, §1º DA LEI 11.171/2005. AUSÊNCIA DE SIMILITUDE. PAGAMENTO DE EFEITOS </w:t>
      </w:r>
      <w:proofErr w:type="gramStart"/>
      <w:r w:rsidRPr="008B5A05">
        <w:rPr>
          <w:rFonts w:ascii="Times New Roman" w:hAnsi="Times New Roman" w:cs="Times New Roman"/>
          <w:b/>
          <w:color w:val="000000" w:themeColor="text1"/>
          <w:sz w:val="24"/>
          <w:szCs w:val="24"/>
          <w:shd w:val="clear" w:color="auto" w:fill="FFFFFF"/>
        </w:rPr>
        <w:t>FINANCEIROS RETROATIVOS EXCLUÍDO</w:t>
      </w:r>
      <w:proofErr w:type="gramEnd"/>
      <w:r w:rsidRPr="008B5A05">
        <w:rPr>
          <w:rFonts w:ascii="Times New Roman" w:hAnsi="Times New Roman" w:cs="Times New Roman"/>
          <w:b/>
          <w:color w:val="000000" w:themeColor="text1"/>
          <w:sz w:val="24"/>
          <w:szCs w:val="24"/>
          <w:shd w:val="clear" w:color="auto" w:fill="FFFFFF"/>
        </w:rPr>
        <w:t xml:space="preserve"> PELO ART. 13, §3º DO DECRETO Nº 7.629</w:t>
      </w:r>
      <w:r w:rsidRPr="008B5A05">
        <w:rPr>
          <w:rFonts w:ascii="Times New Roman" w:hAnsi="Times New Roman" w:cs="Times New Roman"/>
          <w:b/>
          <w:sz w:val="24"/>
          <w:szCs w:val="24"/>
        </w:rPr>
        <w:t xml:space="preserve">/2011. </w:t>
      </w:r>
      <w:r w:rsidRPr="008B5A05">
        <w:rPr>
          <w:rFonts w:ascii="Times New Roman" w:hAnsi="Times New Roman" w:cs="Times New Roman"/>
          <w:b/>
          <w:color w:val="000000" w:themeColor="text1"/>
          <w:sz w:val="24"/>
          <w:szCs w:val="24"/>
          <w:shd w:val="clear" w:color="auto" w:fill="FFFFFF"/>
        </w:rPr>
        <w:t>POSSIBILIDADE. ACÓRDÃO EM HARMONIA COM ENTENDIMENTO DOMINANTE DESTA TURMA REGIONAL DE UNIFORMIZAÇÃO. AGRAVO INTERNO NÃO PROVIDO. PEDIDO DE UNIFORMIZAÇÃO NÃO ADMITIDO.</w:t>
      </w:r>
    </w:p>
    <w:p w:rsidR="00566064" w:rsidRPr="008B5A05" w:rsidRDefault="00566064" w:rsidP="00566064">
      <w:pPr>
        <w:tabs>
          <w:tab w:val="left" w:pos="2552"/>
          <w:tab w:val="left" w:pos="2694"/>
        </w:tabs>
        <w:spacing w:line="256" w:lineRule="auto"/>
        <w:ind w:left="-142"/>
        <w:jc w:val="center"/>
        <w:rPr>
          <w:rFonts w:ascii="Times New Roman" w:hAnsi="Times New Roman" w:cs="Times New Roman"/>
          <w:b/>
          <w:bCs/>
          <w:color w:val="000000" w:themeColor="text1"/>
          <w:sz w:val="24"/>
          <w:szCs w:val="24"/>
          <w:shd w:val="clear" w:color="auto" w:fill="FFFFFF"/>
        </w:rPr>
      </w:pPr>
    </w:p>
    <w:p w:rsidR="00566064" w:rsidRPr="008B5A05" w:rsidRDefault="00566064" w:rsidP="00566064">
      <w:pPr>
        <w:tabs>
          <w:tab w:val="left" w:pos="2552"/>
          <w:tab w:val="left" w:pos="2694"/>
        </w:tabs>
        <w:spacing w:line="256" w:lineRule="auto"/>
        <w:ind w:left="-142"/>
        <w:jc w:val="both"/>
        <w:rPr>
          <w:rFonts w:ascii="Times New Roman" w:hAnsi="Times New Roman" w:cs="Times New Roman"/>
          <w:sz w:val="24"/>
          <w:szCs w:val="24"/>
        </w:rPr>
      </w:pPr>
      <w:proofErr w:type="gramStart"/>
      <w:r w:rsidRPr="008B5A05">
        <w:rPr>
          <w:rFonts w:ascii="Times New Roman" w:hAnsi="Times New Roman" w:cs="Times New Roman"/>
          <w:color w:val="052229"/>
          <w:sz w:val="24"/>
          <w:szCs w:val="24"/>
        </w:rPr>
        <w:t>1.</w:t>
      </w:r>
      <w:proofErr w:type="gramEnd"/>
      <w:r w:rsidRPr="008B5A05">
        <w:rPr>
          <w:rFonts w:ascii="Times New Roman" w:hAnsi="Times New Roman" w:cs="Times New Roman"/>
          <w:color w:val="052229"/>
          <w:sz w:val="24"/>
          <w:szCs w:val="24"/>
        </w:rPr>
        <w:t xml:space="preserve">Cuida-se de agravo interno </w:t>
      </w:r>
      <w:r w:rsidRPr="008B5A05">
        <w:rPr>
          <w:rFonts w:ascii="Times New Roman" w:hAnsi="Times New Roman" w:cs="Times New Roman"/>
          <w:sz w:val="24"/>
          <w:szCs w:val="24"/>
        </w:rPr>
        <w:t xml:space="preserve">interposto pelo DNIT em face de decisão monocrática (fl. 114) que não admitiu o pedido de uniformização regional (fls. 101/110), nos termos abaixo transcrito: </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noProof/>
          <w:sz w:val="24"/>
          <w:szCs w:val="24"/>
        </w:rPr>
      </w:pPr>
      <w:r w:rsidRPr="008B5A05">
        <w:rPr>
          <w:rFonts w:ascii="Times New Roman" w:hAnsi="Times New Roman" w:cs="Times New Roman"/>
          <w:bCs/>
          <w:noProof/>
          <w:sz w:val="24"/>
          <w:szCs w:val="24"/>
        </w:rPr>
        <w:t xml:space="preserve">“Trata-se de incidente de uniformização regional interposto pelo DNIT (fl. 101/108) contra acórdão proferido nesses autos pela </w:t>
      </w:r>
      <w:r w:rsidRPr="008B5A05">
        <w:rPr>
          <w:rFonts w:ascii="Times New Roman" w:hAnsi="Times New Roman" w:cs="Times New Roman"/>
          <w:bCs/>
          <w:sz w:val="24"/>
          <w:szCs w:val="24"/>
        </w:rPr>
        <w:t>1ª Turma Recursal do Juizado Especial Federal da Seção Judiciária de Minas Gerais de fl. 96/97 que deu provimento ao recurso inominado interposto pela autora</w:t>
      </w:r>
      <w:r w:rsidRPr="008B5A05">
        <w:rPr>
          <w:rFonts w:ascii="Times New Roman" w:hAnsi="Times New Roman" w:cs="Times New Roman"/>
          <w:bCs/>
          <w:noProof/>
          <w:sz w:val="24"/>
          <w:szCs w:val="24"/>
        </w:rPr>
        <w:t>.</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noProof/>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noProof/>
          <w:sz w:val="24"/>
          <w:szCs w:val="24"/>
        </w:rPr>
        <w:t>O recorrente indica divergência em relação ao acórdão proferido pela 4ª Turma Recursal da Seção Judiciária de Minas Gerais,  sustentando a tese de que não é cabivel o pagamento dos valores retroativos aos servidores do DNIT em razão da progressão funcional instituida pela Lei 11.171/2005</w:t>
      </w:r>
      <w:r w:rsidRPr="008B5A05">
        <w:rPr>
          <w:rFonts w:ascii="Times New Roman" w:hAnsi="Times New Roman" w:cs="Times New Roman"/>
          <w:bCs/>
          <w:sz w:val="24"/>
          <w:szCs w:val="24"/>
        </w:rPr>
        <w:t>. Ocorre que a questão debatida nesses autos já foi decidida por esta Turma Regional. Cito, a propósito, as decisões:</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
          <w:sz w:val="24"/>
          <w:szCs w:val="24"/>
        </w:rPr>
      </w:pPr>
      <w:r w:rsidRPr="008B5A05">
        <w:rPr>
          <w:rFonts w:ascii="Times New Roman" w:hAnsi="Times New Roman" w:cs="Times New Roman"/>
          <w:bCs/>
          <w:sz w:val="24"/>
          <w:szCs w:val="24"/>
        </w:rPr>
        <w:lastRenderedPageBreak/>
        <w:t>TURMA REGIONAL DE UNIFORMIZAÇÃO. INCIDENTE DE UNIFORMIZAÇÃO. DNIT. PROGRESSÃO E PROMOÇÃO FUNCIONAL. PAGAMENTO DE EFEITOS FINANCEIROS RETROATIVOS. DECRETO N. 7.629</w:t>
      </w:r>
      <w:r w:rsidRPr="008B5A05">
        <w:rPr>
          <w:rFonts w:ascii="Times New Roman" w:hAnsi="Times New Roman" w:cs="Times New Roman"/>
          <w:b/>
          <w:sz w:val="24"/>
          <w:szCs w:val="24"/>
        </w:rPr>
        <w:t>/</w:t>
      </w:r>
      <w:r w:rsidRPr="00B7389A">
        <w:rPr>
          <w:rFonts w:ascii="Times New Roman" w:hAnsi="Times New Roman" w:cs="Times New Roman"/>
          <w:bCs/>
          <w:sz w:val="24"/>
          <w:szCs w:val="24"/>
        </w:rPr>
        <w:t>11.</w:t>
      </w:r>
      <w:r w:rsidRPr="008B5A05">
        <w:rPr>
          <w:rFonts w:ascii="Times New Roman" w:hAnsi="Times New Roman" w:cs="Times New Roman"/>
          <w:b/>
          <w:sz w:val="24"/>
          <w:szCs w:val="24"/>
        </w:rPr>
        <w:t xml:space="preserve"> </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1. A controvérsia cinge-se à aferição do cabimento dos valores pretéritos, proibidos expressamente pelo Decreto nº 7.629/11. O Decreto supracitado regulou a progressão funcional prevista na Lei nº 11.171/2005, mas vedou os efeitos retroativos disso decorrentes.</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 xml:space="preserve">2. Na esteira do entendimento da TNU, Decreto Regulamentador pode especificar os requisitos previstos em lei, mas não poderia vedar a retroatividade dos valores pretéritos a contar de sua publicação, ignorando por completo a data em que o servidor público ingressou no órgão e que preencheu os pressupostos para a sua progressão, notadamente porque a restrição não se encontra presente na lei regulamentada (Lei nº 11.171/05). </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 xml:space="preserve">3. Incidente de Uniformização desprovido. (AGREXT 0048163-72.2012.4.01.3800, GUILHERME MICHELAZZO BUENO, TRF1 - TURMA REGIONAL DE UNIFORMIZAÇÃO DE JURISPRUDÊNCIA, Diário Eletrônico Publicação 23/11/2018.) (grifei). </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TURMA REGIONAL DE UNIFORMIZAÇÃO. INCIDENTE DE UNIFORMIZAÇÃO. DNIT. PROGRESSÃO E PROMOÇÃO FUNCIONAL. PAGAMENTO DE EFEITOS FINANCEIROS RETROATIVOS. DECRETO N. 7.629/11</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 xml:space="preserve"> 1. A controvérsia cinge-se à aferição do cabimento dos valores pretéritos, proibidos expressamente pelo Decreto nº 7.629/11. O Decreto supracitado regulou a progressão funcional prevista na Lei nº 11.171/2005, mas vedou os efeitos retroativos disso decorrentes.</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 xml:space="preserve"> 2. Na esteira do entendimento da TNU, Decreto Regulamentador pode especificar os requisitos previstos em lei, mas não poderia vedar a retroatividade dos valores pretéritos a contar de sua publicação, ignorando por completo a data em que o servidor público ingressou no órgão e que preencheu os pressupostos para a sua progressão, notadamente porque a restrição não se encontra presente na lei regulamentada (Lei nº 11.171/05). </w:t>
      </w: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rPr>
      </w:pPr>
      <w:r w:rsidRPr="008B5A05">
        <w:rPr>
          <w:rFonts w:ascii="Times New Roman" w:hAnsi="Times New Roman" w:cs="Times New Roman"/>
          <w:bCs/>
          <w:sz w:val="24"/>
          <w:szCs w:val="24"/>
        </w:rPr>
        <w:t>3. Incidente de Uniformização desprovido. (AGREXT 0048163-72.2012.4.01.3800, GUILHERME MICHELAZZO BUENO, TRF1 - TURMA REGIONAL DE UNIFORMIZAÇÃO DE JURISPRUDÊNCIA, Diário Eletrônico Publicação 23/11/2018.) (grifei).</w:t>
      </w:r>
    </w:p>
    <w:p w:rsidR="00566064" w:rsidRPr="008B5A05" w:rsidRDefault="00566064" w:rsidP="00566064">
      <w:pPr>
        <w:pStyle w:val="Corpodetexto"/>
        <w:tabs>
          <w:tab w:val="left" w:pos="1701"/>
        </w:tabs>
        <w:spacing w:after="0" w:line="276" w:lineRule="auto"/>
        <w:ind w:left="567"/>
        <w:jc w:val="right"/>
        <w:rPr>
          <w:rFonts w:ascii="Times New Roman" w:hAnsi="Times New Roman" w:cs="Times New Roman"/>
          <w:bCs/>
          <w:sz w:val="24"/>
          <w:szCs w:val="24"/>
        </w:rPr>
      </w:pPr>
    </w:p>
    <w:p w:rsidR="00566064" w:rsidRPr="008B5A05" w:rsidRDefault="00566064" w:rsidP="00566064">
      <w:pPr>
        <w:pStyle w:val="Corpodetexto"/>
        <w:tabs>
          <w:tab w:val="left" w:pos="1701"/>
        </w:tabs>
        <w:spacing w:after="0" w:line="276" w:lineRule="auto"/>
        <w:ind w:left="567"/>
        <w:jc w:val="both"/>
        <w:rPr>
          <w:rFonts w:ascii="Times New Roman" w:hAnsi="Times New Roman" w:cs="Times New Roman"/>
          <w:bCs/>
          <w:sz w:val="24"/>
          <w:szCs w:val="24"/>
          <w:shd w:val="clear" w:color="auto" w:fill="FFFFFF"/>
        </w:rPr>
      </w:pPr>
      <w:r w:rsidRPr="008B5A05">
        <w:rPr>
          <w:rFonts w:ascii="Times New Roman" w:hAnsi="Times New Roman" w:cs="Times New Roman"/>
          <w:bCs/>
          <w:sz w:val="24"/>
          <w:szCs w:val="24"/>
        </w:rPr>
        <w:t xml:space="preserve">Diante dessa conjuntura, há de se observar a diretriz do art. 87, § 2º, do Regimento Interno dos Juizados Especiais Federais, Turmas Recursais e Turma Regional de Uniformização da 1ª Região (Resolução </w:t>
      </w:r>
      <w:proofErr w:type="spellStart"/>
      <w:r w:rsidRPr="008B5A05">
        <w:rPr>
          <w:rFonts w:ascii="Times New Roman" w:hAnsi="Times New Roman" w:cs="Times New Roman"/>
          <w:bCs/>
          <w:sz w:val="24"/>
          <w:szCs w:val="24"/>
        </w:rPr>
        <w:t>Presi</w:t>
      </w:r>
      <w:proofErr w:type="spellEnd"/>
      <w:r w:rsidRPr="008B5A05">
        <w:rPr>
          <w:rFonts w:ascii="Times New Roman" w:hAnsi="Times New Roman" w:cs="Times New Roman"/>
          <w:bCs/>
          <w:sz w:val="24"/>
          <w:szCs w:val="24"/>
        </w:rPr>
        <w:t xml:space="preserve"> 17/2014), que assim dispõe: </w:t>
      </w:r>
      <w:r w:rsidRPr="008B5A05">
        <w:rPr>
          <w:rFonts w:ascii="Times New Roman" w:hAnsi="Times New Roman" w:cs="Times New Roman"/>
          <w:bCs/>
          <w:i/>
          <w:sz w:val="24"/>
          <w:szCs w:val="24"/>
        </w:rPr>
        <w:t xml:space="preserve">“não será admitido o incidente que versar matéria já decidida pela </w:t>
      </w:r>
      <w:r w:rsidRPr="008B5A05">
        <w:rPr>
          <w:rFonts w:ascii="Times New Roman" w:hAnsi="Times New Roman" w:cs="Times New Roman"/>
          <w:bCs/>
          <w:i/>
          <w:sz w:val="24"/>
          <w:szCs w:val="24"/>
        </w:rPr>
        <w:lastRenderedPageBreak/>
        <w:t>Turma Regional de Uniformização ou pela Turma Nacional de Uniformização</w:t>
      </w:r>
      <w:proofErr w:type="gramStart"/>
      <w:r w:rsidRPr="008B5A05">
        <w:rPr>
          <w:rFonts w:ascii="Times New Roman" w:hAnsi="Times New Roman" w:cs="Times New Roman"/>
          <w:bCs/>
          <w:i/>
          <w:sz w:val="24"/>
          <w:szCs w:val="24"/>
        </w:rPr>
        <w:t>”.</w:t>
      </w:r>
      <w:proofErr w:type="gramEnd"/>
      <w:r w:rsidRPr="008B5A05">
        <w:rPr>
          <w:rFonts w:ascii="Times New Roman" w:hAnsi="Times New Roman" w:cs="Times New Roman"/>
          <w:bCs/>
          <w:sz w:val="24"/>
          <w:szCs w:val="24"/>
          <w:shd w:val="clear" w:color="auto" w:fill="FFFFFF"/>
        </w:rPr>
        <w:t>Ante o exposto, inadmito o incidente.”</w:t>
      </w:r>
    </w:p>
    <w:p w:rsidR="00566064" w:rsidRPr="008B5A05" w:rsidRDefault="00566064" w:rsidP="00566064">
      <w:pPr>
        <w:pStyle w:val="Corpodetexto"/>
        <w:tabs>
          <w:tab w:val="left" w:pos="1701"/>
        </w:tabs>
        <w:spacing w:after="0" w:line="276" w:lineRule="auto"/>
        <w:ind w:left="851"/>
        <w:jc w:val="both"/>
        <w:rPr>
          <w:rFonts w:ascii="Times New Roman" w:hAnsi="Times New Roman" w:cs="Times New Roman"/>
          <w:b/>
          <w:bCs/>
          <w:sz w:val="24"/>
          <w:szCs w:val="24"/>
          <w:shd w:val="clear" w:color="auto" w:fill="FFFFFF"/>
        </w:rPr>
      </w:pP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sz w:val="24"/>
          <w:szCs w:val="24"/>
        </w:rPr>
        <w:t xml:space="preserve">2. </w:t>
      </w:r>
      <w:r w:rsidRPr="008B5A05">
        <w:rPr>
          <w:rFonts w:ascii="Times New Roman" w:hAnsi="Times New Roman" w:cs="Times New Roman"/>
          <w:color w:val="052229"/>
          <w:sz w:val="24"/>
          <w:szCs w:val="24"/>
        </w:rPr>
        <w:t xml:space="preserve">Em suas razões o agravante sustenta, em síntese, que a </w:t>
      </w:r>
      <w:r w:rsidRPr="008B5A05">
        <w:rPr>
          <w:rFonts w:ascii="Times New Roman" w:hAnsi="Times New Roman" w:cs="Times New Roman"/>
          <w:sz w:val="24"/>
          <w:szCs w:val="24"/>
        </w:rPr>
        <w:t xml:space="preserve">questão principal debatida no Incidente de Uniformização Regional apresentado diz respeito à eficácia limitada do art. 10, parágrafo único da Lei 11.171/2005 que, segundo o acórdão paradigma, somente gerou efeitos jurídicos a partir do Decreto </w:t>
      </w:r>
      <w:r w:rsidRPr="008B5A05">
        <w:rPr>
          <w:rFonts w:ascii="Times New Roman" w:hAnsi="Times New Roman" w:cs="Times New Roman"/>
          <w:noProof/>
          <w:sz w:val="24"/>
          <w:szCs w:val="24"/>
        </w:rPr>
        <w:t>nº</w:t>
      </w:r>
      <w:r w:rsidRPr="008B5A05">
        <w:rPr>
          <w:rFonts w:ascii="Times New Roman" w:hAnsi="Times New Roman" w:cs="Times New Roman"/>
          <w:sz w:val="24"/>
          <w:szCs w:val="24"/>
        </w:rPr>
        <w:t xml:space="preserve"> 7.629/11 e a exclusão dos efeitos financeiros retroativos nos termos do art. 13, §3º do Decreto </w:t>
      </w:r>
      <w:r w:rsidRPr="008B5A05">
        <w:rPr>
          <w:rFonts w:ascii="Times New Roman" w:hAnsi="Times New Roman" w:cs="Times New Roman"/>
          <w:noProof/>
          <w:sz w:val="24"/>
          <w:szCs w:val="24"/>
        </w:rPr>
        <w:t>nº</w:t>
      </w:r>
      <w:r w:rsidRPr="008B5A05">
        <w:rPr>
          <w:rFonts w:ascii="Times New Roman" w:hAnsi="Times New Roman" w:cs="Times New Roman"/>
          <w:sz w:val="24"/>
          <w:szCs w:val="24"/>
        </w:rPr>
        <w:t xml:space="preserve"> 7.629/11, o que impediria a sua concessão pelo Poder Judiciário. Requer o agravante a reconsideração da decisão agravada e provimento do incidente.</w:t>
      </w:r>
    </w:p>
    <w:p w:rsidR="00566064" w:rsidRPr="008B5A05" w:rsidRDefault="00566064" w:rsidP="00566064">
      <w:pPr>
        <w:jc w:val="both"/>
        <w:rPr>
          <w:rFonts w:ascii="Times New Roman" w:hAnsi="Times New Roman" w:cs="Times New Roman"/>
          <w:color w:val="052229"/>
          <w:sz w:val="24"/>
          <w:szCs w:val="24"/>
        </w:rPr>
      </w:pPr>
      <w:r w:rsidRPr="008B5A05">
        <w:rPr>
          <w:rFonts w:ascii="Times New Roman" w:hAnsi="Times New Roman" w:cs="Times New Roman"/>
          <w:sz w:val="24"/>
          <w:szCs w:val="24"/>
        </w:rPr>
        <w:t xml:space="preserve">3. </w:t>
      </w:r>
      <w:r w:rsidRPr="008B5A05">
        <w:rPr>
          <w:rFonts w:ascii="Times New Roman" w:hAnsi="Times New Roman" w:cs="Times New Roman"/>
          <w:color w:val="052229"/>
          <w:sz w:val="24"/>
          <w:szCs w:val="24"/>
        </w:rPr>
        <w:t xml:space="preserve">No caso concreto, consoante exposto na decisão monocrática recorrida deste relator, o autor interpôs Incidente de Uniformização Nacional contra acórdão da 1ª Turma Recursal da Seção Judiciária de Minas Gerais (fls. 96/97). </w:t>
      </w:r>
    </w:p>
    <w:p w:rsidR="00566064" w:rsidRPr="008B5A05" w:rsidRDefault="00566064" w:rsidP="00566064">
      <w:pPr>
        <w:jc w:val="both"/>
        <w:rPr>
          <w:rFonts w:ascii="Times New Roman" w:hAnsi="Times New Roman" w:cs="Times New Roman"/>
          <w:color w:val="052229"/>
          <w:sz w:val="24"/>
          <w:szCs w:val="24"/>
        </w:rPr>
      </w:pPr>
      <w:r w:rsidRPr="008B5A05">
        <w:rPr>
          <w:rFonts w:ascii="Times New Roman" w:hAnsi="Times New Roman" w:cs="Times New Roman"/>
          <w:color w:val="052229"/>
          <w:sz w:val="24"/>
          <w:szCs w:val="24"/>
        </w:rPr>
        <w:t xml:space="preserve">4. Em apertada síntese, a parte autora ajuizou a presente ação contra o Departamento Nacional de Infraestrutura de Transportes – DNIT visando o reconhecimento do seu direito à progressão funcional e promoção desde </w:t>
      </w:r>
      <w:proofErr w:type="gramStart"/>
      <w:r w:rsidRPr="008B5A05">
        <w:rPr>
          <w:rFonts w:ascii="Times New Roman" w:hAnsi="Times New Roman" w:cs="Times New Roman"/>
          <w:color w:val="052229"/>
          <w:sz w:val="24"/>
          <w:szCs w:val="24"/>
        </w:rPr>
        <w:t>o ingresso no exercício do cargo observados</w:t>
      </w:r>
      <w:proofErr w:type="gramEnd"/>
      <w:r w:rsidRPr="008B5A05">
        <w:rPr>
          <w:rFonts w:ascii="Times New Roman" w:hAnsi="Times New Roman" w:cs="Times New Roman"/>
          <w:color w:val="052229"/>
          <w:sz w:val="24"/>
          <w:szCs w:val="24"/>
        </w:rPr>
        <w:t xml:space="preserve"> os requisitos dispostos na Lei nº 11.171/2005 e a condenação do réu ao pagamento dos valores referentes à diferença entre o padrão inicial da carreira e os padrões e que deveriam ter ascendido. A sentença julgou extinto o feito, sem resolução do mérito, pela incompetência em razão da matéria. Os embargos de declaração apresentados pela autora, diante da omissão na análise do pedido de gratuidade de justiça, foram julgados parcialmente procedentes indeferindo o benefício. </w:t>
      </w:r>
      <w:r w:rsidR="005E1F3C">
        <w:rPr>
          <w:rFonts w:ascii="Times New Roman" w:hAnsi="Times New Roman" w:cs="Times New Roman"/>
          <w:color w:val="052229"/>
          <w:sz w:val="24"/>
          <w:szCs w:val="24"/>
        </w:rPr>
        <w:t>Por sua vez, a 1ª Turma Recursal de Minas Gerais deu provimento ao recurso inominado da autora reconheceu o direito vindicado à progressão funcional e condenou a autarquia ré ao ressarcimento das diferenças, tendo em vista os valores que lhe foram pagos e os que deveriam ser, conforme acórdão trechos do acórdão abaixo transcrito:</w:t>
      </w:r>
      <w:r w:rsidRPr="008B5A05">
        <w:rPr>
          <w:rFonts w:ascii="Times New Roman" w:hAnsi="Times New Roman" w:cs="Times New Roman"/>
          <w:color w:val="052229"/>
          <w:sz w:val="24"/>
          <w:szCs w:val="24"/>
        </w:rPr>
        <w:t xml:space="preserve"> </w:t>
      </w:r>
    </w:p>
    <w:p w:rsidR="00566064" w:rsidRDefault="00566064" w:rsidP="00566064">
      <w:pPr>
        <w:jc w:val="both"/>
        <w:rPr>
          <w:rFonts w:ascii="Times New Roman" w:hAnsi="Times New Roman" w:cs="Times New Roman"/>
          <w:color w:val="052229"/>
          <w:sz w:val="24"/>
          <w:szCs w:val="24"/>
        </w:rPr>
      </w:pPr>
    </w:p>
    <w:p w:rsidR="005E1F3C" w:rsidRPr="008B5A05" w:rsidRDefault="005E1F3C" w:rsidP="005E1F3C">
      <w:pPr>
        <w:jc w:val="both"/>
        <w:rPr>
          <w:rFonts w:ascii="Times New Roman" w:hAnsi="Times New Roman" w:cs="Times New Roman"/>
          <w:sz w:val="24"/>
          <w:szCs w:val="24"/>
        </w:rPr>
      </w:pPr>
      <w:r w:rsidRPr="008B5A05">
        <w:rPr>
          <w:rFonts w:ascii="Times New Roman" w:hAnsi="Times New Roman" w:cs="Times New Roman"/>
          <w:sz w:val="24"/>
          <w:szCs w:val="24"/>
        </w:rPr>
        <w:t>...</w:t>
      </w:r>
    </w:p>
    <w:p w:rsidR="005E1F3C" w:rsidRPr="008B5A05" w:rsidRDefault="005E1F3C" w:rsidP="005E1F3C">
      <w:pPr>
        <w:jc w:val="both"/>
        <w:rPr>
          <w:rFonts w:ascii="Times New Roman" w:hAnsi="Times New Roman" w:cs="Times New Roman"/>
          <w:sz w:val="24"/>
          <w:szCs w:val="24"/>
        </w:rPr>
      </w:pPr>
      <w:r w:rsidRPr="008B5A05">
        <w:rPr>
          <w:rFonts w:ascii="Times New Roman" w:hAnsi="Times New Roman" w:cs="Times New Roman"/>
          <w:sz w:val="24"/>
          <w:szCs w:val="24"/>
        </w:rPr>
        <w:t xml:space="preserve">12. No mérito, por força do caput do art. 13 do Decreto 7.629/05, ao autor foram concedidas não só as progressões funcionais pretendidas nesta ação, mas também promoção para a classe subsequente. É o que se infere das informações trazidas aos autos pelo DNIT (documentos registrados em 17/11/17), bem como das fichas financeiras referentes aos exercícios de 2007 a 2017. </w:t>
      </w:r>
      <w:r w:rsidRPr="008B5A05">
        <w:rPr>
          <w:rFonts w:ascii="Times New Roman" w:hAnsi="Times New Roman" w:cs="Times New Roman"/>
          <w:b/>
          <w:sz w:val="24"/>
          <w:szCs w:val="24"/>
        </w:rPr>
        <w:t>Diante do reconhecimento da procedência do pedido, resta analisar o direito do autor ao recebimento dos valores pretéritos, já que, nos termos do supracitado § 3º do art. 13 do Decreto 7.629/05, o reconhecimento do direito ali previsto não gerou na via administrativa, efeitos financeiros retroativos.</w:t>
      </w:r>
      <w:r w:rsidRPr="008B5A05">
        <w:rPr>
          <w:rFonts w:ascii="Times New Roman" w:hAnsi="Times New Roman" w:cs="Times New Roman"/>
          <w:sz w:val="24"/>
          <w:szCs w:val="24"/>
        </w:rPr>
        <w:t xml:space="preserve"> Ora, se a própria Administração reconheceu que sua demora em regulamentar o desenvolvimento de servidores nas carreiras da Lei 11.171/05, não lhes prejudica o direito às progressões e promoções não efetuadas em razão da falta de regulamentação (caput do art. 13 do Decreto 7.629/11), corolário natural deste reconhecimento é o pagamento dos respectivos valores pretéritos devidos a título de tal progressão funcional, </w:t>
      </w:r>
      <w:proofErr w:type="gramStart"/>
      <w:r w:rsidRPr="008B5A05">
        <w:rPr>
          <w:rFonts w:ascii="Times New Roman" w:hAnsi="Times New Roman" w:cs="Times New Roman"/>
          <w:sz w:val="24"/>
          <w:szCs w:val="24"/>
        </w:rPr>
        <w:t>sob pena</w:t>
      </w:r>
      <w:proofErr w:type="gramEnd"/>
      <w:r w:rsidRPr="008B5A05">
        <w:rPr>
          <w:rFonts w:ascii="Times New Roman" w:hAnsi="Times New Roman" w:cs="Times New Roman"/>
          <w:sz w:val="24"/>
          <w:szCs w:val="24"/>
        </w:rPr>
        <w:t xml:space="preserve"> de enriquecimento sem causa da Administração e violação aos princípios constitucionais da proporcionalidade e razoabilidade. </w:t>
      </w:r>
    </w:p>
    <w:p w:rsidR="005E1F3C" w:rsidRPr="008B5A05" w:rsidRDefault="005E1F3C" w:rsidP="005E1F3C">
      <w:pPr>
        <w:ind w:left="567"/>
        <w:jc w:val="both"/>
        <w:rPr>
          <w:rFonts w:ascii="Times New Roman" w:hAnsi="Times New Roman" w:cs="Times New Roman"/>
          <w:sz w:val="24"/>
          <w:szCs w:val="24"/>
        </w:rPr>
      </w:pPr>
      <w:r w:rsidRPr="008B5A05">
        <w:rPr>
          <w:rFonts w:ascii="Times New Roman" w:hAnsi="Times New Roman" w:cs="Times New Roman"/>
          <w:sz w:val="24"/>
          <w:szCs w:val="24"/>
        </w:rPr>
        <w:lastRenderedPageBreak/>
        <w:t xml:space="preserve">13. Como se vê, diversamente dos argumentos da recorrente, não se trata de caso em que o Poder Judiciário estaria a legislar, mas tão somente a exigir o cumprimento da legislação de regência em favor do autor por parte da autarquia ré. </w:t>
      </w:r>
    </w:p>
    <w:p w:rsidR="005E1F3C" w:rsidRPr="008B5A05" w:rsidRDefault="005E1F3C" w:rsidP="005E1F3C">
      <w:pPr>
        <w:ind w:left="567"/>
        <w:jc w:val="both"/>
        <w:rPr>
          <w:rFonts w:ascii="Times New Roman" w:hAnsi="Times New Roman" w:cs="Times New Roman"/>
          <w:sz w:val="24"/>
          <w:szCs w:val="24"/>
        </w:rPr>
      </w:pPr>
      <w:r w:rsidRPr="008B5A05">
        <w:rPr>
          <w:rFonts w:ascii="Times New Roman" w:hAnsi="Times New Roman" w:cs="Times New Roman"/>
          <w:sz w:val="24"/>
          <w:szCs w:val="24"/>
        </w:rPr>
        <w:t>...</w:t>
      </w:r>
    </w:p>
    <w:p w:rsidR="00566064" w:rsidRDefault="005E1F3C" w:rsidP="005E1F3C">
      <w:pPr>
        <w:jc w:val="both"/>
        <w:rPr>
          <w:rFonts w:ascii="Times New Roman" w:hAnsi="Times New Roman" w:cs="Times New Roman"/>
          <w:sz w:val="24"/>
          <w:szCs w:val="24"/>
        </w:rPr>
      </w:pPr>
      <w:r w:rsidRPr="008B5A05">
        <w:rPr>
          <w:rFonts w:ascii="Times New Roman" w:hAnsi="Times New Roman" w:cs="Times New Roman"/>
          <w:sz w:val="24"/>
          <w:szCs w:val="24"/>
        </w:rPr>
        <w:t xml:space="preserve"> </w:t>
      </w:r>
      <w:r w:rsidR="00566064" w:rsidRPr="008B5A05">
        <w:rPr>
          <w:rFonts w:ascii="Times New Roman" w:hAnsi="Times New Roman" w:cs="Times New Roman"/>
          <w:sz w:val="24"/>
          <w:szCs w:val="24"/>
        </w:rPr>
        <w:t>5. Não foram opostos embargos de declaração pelo DNIT.</w:t>
      </w:r>
    </w:p>
    <w:p w:rsidR="005E1F3C" w:rsidRPr="008B5A05" w:rsidRDefault="005E1F3C" w:rsidP="005E1F3C">
      <w:pPr>
        <w:jc w:val="both"/>
        <w:rPr>
          <w:rFonts w:ascii="Times New Roman" w:hAnsi="Times New Roman" w:cs="Times New Roman"/>
          <w:sz w:val="24"/>
          <w:szCs w:val="24"/>
        </w:rPr>
      </w:pP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color w:val="052229"/>
          <w:sz w:val="24"/>
          <w:szCs w:val="24"/>
        </w:rPr>
        <w:t>6. Nas razões do incidente de uniformizaç</w:t>
      </w:r>
      <w:r w:rsidRPr="008B5A05">
        <w:rPr>
          <w:rFonts w:ascii="Times New Roman" w:hAnsi="Times New Roman" w:cs="Times New Roman"/>
          <w:color w:val="000000" w:themeColor="text1"/>
          <w:sz w:val="24"/>
          <w:szCs w:val="24"/>
        </w:rPr>
        <w:t>ão (fls.101/110), o recorrente sustenta</w:t>
      </w:r>
      <w:proofErr w:type="gramStart"/>
      <w:r w:rsidRPr="008B5A05">
        <w:rPr>
          <w:rFonts w:ascii="Times New Roman" w:hAnsi="Times New Roman" w:cs="Times New Roman"/>
          <w:color w:val="000000" w:themeColor="text1"/>
          <w:sz w:val="24"/>
          <w:szCs w:val="24"/>
        </w:rPr>
        <w:t xml:space="preserve">  </w:t>
      </w:r>
      <w:proofErr w:type="gramEnd"/>
      <w:r w:rsidRPr="008B5A05">
        <w:rPr>
          <w:rFonts w:ascii="Times New Roman" w:hAnsi="Times New Roman" w:cs="Times New Roman"/>
          <w:color w:val="000000" w:themeColor="text1"/>
          <w:sz w:val="24"/>
          <w:szCs w:val="24"/>
        </w:rPr>
        <w:t xml:space="preserve">divergência entre o julgado </w:t>
      </w:r>
      <w:r w:rsidRPr="008B5A05">
        <w:rPr>
          <w:rFonts w:ascii="Times New Roman" w:hAnsi="Times New Roman" w:cs="Times New Roman"/>
          <w:iCs/>
          <w:color w:val="000000" w:themeColor="text1"/>
          <w:sz w:val="24"/>
          <w:szCs w:val="24"/>
        </w:rPr>
        <w:t xml:space="preserve">a </w:t>
      </w:r>
      <w:proofErr w:type="spellStart"/>
      <w:r w:rsidRPr="008B5A05">
        <w:rPr>
          <w:rFonts w:ascii="Times New Roman" w:hAnsi="Times New Roman" w:cs="Times New Roman"/>
          <w:iCs/>
          <w:color w:val="000000" w:themeColor="text1"/>
          <w:sz w:val="24"/>
          <w:szCs w:val="24"/>
        </w:rPr>
        <w:t>quo</w:t>
      </w:r>
      <w:proofErr w:type="spellEnd"/>
      <w:r w:rsidRPr="008B5A05">
        <w:rPr>
          <w:rFonts w:ascii="Times New Roman" w:hAnsi="Times New Roman" w:cs="Times New Roman"/>
          <w:iCs/>
          <w:color w:val="000000" w:themeColor="text1"/>
          <w:sz w:val="24"/>
          <w:szCs w:val="24"/>
        </w:rPr>
        <w:t xml:space="preserve"> da  </w:t>
      </w:r>
      <w:r w:rsidRPr="008B5A05">
        <w:rPr>
          <w:rFonts w:ascii="Times New Roman" w:hAnsi="Times New Roman" w:cs="Times New Roman"/>
          <w:b/>
          <w:bCs/>
          <w:iCs/>
          <w:color w:val="000000" w:themeColor="text1"/>
          <w:sz w:val="24"/>
          <w:szCs w:val="24"/>
        </w:rPr>
        <w:t>1ª</w:t>
      </w:r>
      <w:r w:rsidRPr="008B5A05">
        <w:rPr>
          <w:rFonts w:ascii="Times New Roman" w:hAnsi="Times New Roman" w:cs="Times New Roman"/>
          <w:b/>
          <w:bCs/>
          <w:color w:val="000000" w:themeColor="text1"/>
          <w:sz w:val="24"/>
          <w:szCs w:val="24"/>
        </w:rPr>
        <w:t xml:space="preserve"> </w:t>
      </w:r>
      <w:r w:rsidRPr="008B5A05">
        <w:rPr>
          <w:rFonts w:ascii="Times New Roman" w:hAnsi="Times New Roman" w:cs="Times New Roman"/>
          <w:b/>
          <w:color w:val="052229"/>
          <w:sz w:val="24"/>
          <w:szCs w:val="24"/>
        </w:rPr>
        <w:t>Turma Recursal da Seção Judiciária de Minas Gerais,</w:t>
      </w:r>
      <w:r w:rsidRPr="008B5A05">
        <w:rPr>
          <w:rFonts w:ascii="Times New Roman" w:hAnsi="Times New Roman" w:cs="Times New Roman"/>
          <w:i/>
          <w:color w:val="052229"/>
          <w:sz w:val="24"/>
          <w:szCs w:val="24"/>
        </w:rPr>
        <w:t xml:space="preserve"> </w:t>
      </w:r>
      <w:r w:rsidRPr="008B5A05">
        <w:rPr>
          <w:rFonts w:ascii="Times New Roman" w:hAnsi="Times New Roman" w:cs="Times New Roman"/>
          <w:color w:val="052229"/>
          <w:sz w:val="24"/>
          <w:szCs w:val="24"/>
        </w:rPr>
        <w:t xml:space="preserve">que </w:t>
      </w:r>
      <w:r w:rsidRPr="008B5A05">
        <w:rPr>
          <w:rFonts w:ascii="Times New Roman" w:hAnsi="Times New Roman" w:cs="Times New Roman"/>
          <w:sz w:val="24"/>
          <w:szCs w:val="24"/>
        </w:rPr>
        <w:t xml:space="preserve">reconheceu o direito da autora ao pagamento dos respectivos valores pretéritos devidos a título de progressão funcional sob os seguintes fundamentos: a) tendo a própria Administração,  reconhecido sua demora em regulamentar o desenvolvimento de servidores nas carreiras da Lei 11.171/05, não lhes prejudica o direito às progressões e promoções não efetuadas em razão da falta de regulamentação (caput do art. 13 do Decreto 7.629/11), b) enriquecimento sem causa da Administração e c) violação aos princípios da proporcionalidade e razoabilidade e o entendimento da </w:t>
      </w:r>
      <w:r w:rsidRPr="008B5A05">
        <w:rPr>
          <w:rFonts w:ascii="Times New Roman" w:hAnsi="Times New Roman" w:cs="Times New Roman"/>
          <w:b/>
          <w:sz w:val="24"/>
          <w:szCs w:val="24"/>
        </w:rPr>
        <w:t>4ª Turma recursal de Minas Gerais</w:t>
      </w:r>
      <w:r w:rsidRPr="008B5A05">
        <w:rPr>
          <w:rFonts w:ascii="Times New Roman" w:hAnsi="Times New Roman" w:cs="Times New Roman"/>
          <w:sz w:val="24"/>
          <w:szCs w:val="24"/>
        </w:rPr>
        <w:t>, no processo nº 0026137-17.2011.4.01.3800, no sentido da eficácia limitada do art. 10, parágrafo único da Lei nº 11. 171/05, cuja produção de efeitos depende de regulamentação por ato do Poder Executivo e que, a demora da Administração em regulamentar a progressão funcional em questão, não tem qualquer implicação jurídica e não permite o afastamento da regra do art. 13, § 3º do Decreto 7.629/2011, sob qualquer fundamento (enriquecimento sem causa, violação aos princípios constitucionais da proporcionalidade e razoabilidade):</w:t>
      </w:r>
    </w:p>
    <w:p w:rsidR="00566064" w:rsidRPr="008B5A05" w:rsidRDefault="00566064" w:rsidP="00566064">
      <w:pPr>
        <w:ind w:left="567"/>
        <w:jc w:val="both"/>
        <w:rPr>
          <w:rFonts w:ascii="Times New Roman" w:hAnsi="Times New Roman" w:cs="Times New Roman"/>
          <w:b/>
          <w:sz w:val="20"/>
          <w:szCs w:val="20"/>
        </w:rPr>
      </w:pPr>
      <w:r w:rsidRPr="008B5A05">
        <w:rPr>
          <w:rFonts w:ascii="Times New Roman" w:hAnsi="Times New Roman" w:cs="Times New Roman"/>
          <w:b/>
          <w:sz w:val="20"/>
          <w:szCs w:val="20"/>
        </w:rPr>
        <w:t>...</w:t>
      </w:r>
    </w:p>
    <w:p w:rsidR="00566064" w:rsidRPr="008B5A05" w:rsidRDefault="00566064" w:rsidP="00566064">
      <w:pPr>
        <w:ind w:left="567"/>
        <w:jc w:val="both"/>
        <w:rPr>
          <w:rFonts w:ascii="Times New Roman" w:hAnsi="Times New Roman" w:cs="Times New Roman"/>
          <w:sz w:val="20"/>
          <w:szCs w:val="20"/>
        </w:rPr>
      </w:pPr>
      <w:r w:rsidRPr="008B5A05">
        <w:rPr>
          <w:rFonts w:ascii="Times New Roman" w:hAnsi="Times New Roman" w:cs="Times New Roman"/>
          <w:sz w:val="20"/>
          <w:szCs w:val="20"/>
        </w:rPr>
        <w:t xml:space="preserve">4. O art. 10, parágrafo único, da Lei nº 11.171/05, estabelece que, para as carreiras criadas no seu art. 1º para exercício no Departamento Nacional de </w:t>
      </w:r>
      <w:proofErr w:type="spellStart"/>
      <w:r w:rsidRPr="008B5A05">
        <w:rPr>
          <w:rFonts w:ascii="Times New Roman" w:hAnsi="Times New Roman" w:cs="Times New Roman"/>
          <w:sz w:val="20"/>
          <w:szCs w:val="20"/>
        </w:rPr>
        <w:t>Infra-Estrutura</w:t>
      </w:r>
      <w:proofErr w:type="spellEnd"/>
      <w:r w:rsidRPr="008B5A05">
        <w:rPr>
          <w:rFonts w:ascii="Times New Roman" w:hAnsi="Times New Roman" w:cs="Times New Roman"/>
          <w:sz w:val="20"/>
          <w:szCs w:val="20"/>
        </w:rPr>
        <w:t xml:space="preserve"> de Transportes – DNIT, “A promoção e a progressão funcional obedecerão </w:t>
      </w:r>
      <w:proofErr w:type="gramStart"/>
      <w:r w:rsidRPr="008B5A05">
        <w:rPr>
          <w:rFonts w:ascii="Times New Roman" w:hAnsi="Times New Roman" w:cs="Times New Roman"/>
          <w:sz w:val="20"/>
          <w:szCs w:val="20"/>
        </w:rPr>
        <w:t>a</w:t>
      </w:r>
      <w:proofErr w:type="gramEnd"/>
      <w:r w:rsidRPr="008B5A05">
        <w:rPr>
          <w:rFonts w:ascii="Times New Roman" w:hAnsi="Times New Roman" w:cs="Times New Roman"/>
          <w:sz w:val="20"/>
          <w:szCs w:val="20"/>
        </w:rPr>
        <w:t xml:space="preserve"> sistemática da avaliação de desempenho, capacitação e qualificação funcionais, conforme disposto em ato do Poder Executivo.”. </w:t>
      </w:r>
    </w:p>
    <w:p w:rsidR="00566064" w:rsidRPr="008B5A05" w:rsidRDefault="00566064" w:rsidP="00566064">
      <w:pPr>
        <w:ind w:left="567"/>
        <w:jc w:val="both"/>
        <w:rPr>
          <w:rFonts w:ascii="Times New Roman" w:hAnsi="Times New Roman" w:cs="Times New Roman"/>
          <w:sz w:val="20"/>
          <w:szCs w:val="20"/>
        </w:rPr>
      </w:pPr>
      <w:r w:rsidRPr="008B5A05">
        <w:rPr>
          <w:rFonts w:ascii="Times New Roman" w:hAnsi="Times New Roman" w:cs="Times New Roman"/>
          <w:sz w:val="20"/>
          <w:szCs w:val="20"/>
        </w:rPr>
        <w:t xml:space="preserve">5. Trata-se, pois, de norma de eficácia limitada, cuja produção de efeitos depende de regulamentação por ato do Poder Executivo. O poder do juiz de preencher as lacunas na aplicação da norma ao caso concreto não compreende o poder de tornar aplicável norma não autoaplicável, na pendência de regulamentação. Nem se cogite de violação ao princípio da isonomia, pelo fato de o art. 14 da referida lei autorizar que parte daqueles servidores, os que integrassem o Plano Especial de Cargos do DNIT (não é o caso do autor) tivessem as progressões funcionais e progressões concedidas observando-se as normas aplicáveis aos servidores do Plano de Classificação de Cargos da Lei nº 5.645, de 10 de dezembro de 1970, pois a parte autora não está na mesma situação jurídica e fática daqueles servidores. </w:t>
      </w:r>
    </w:p>
    <w:p w:rsidR="00566064" w:rsidRPr="008B5A05" w:rsidRDefault="00566064" w:rsidP="00566064">
      <w:pPr>
        <w:ind w:left="567"/>
        <w:jc w:val="both"/>
        <w:rPr>
          <w:rFonts w:ascii="Times New Roman" w:hAnsi="Times New Roman" w:cs="Times New Roman"/>
          <w:sz w:val="20"/>
          <w:szCs w:val="20"/>
        </w:rPr>
      </w:pPr>
      <w:r w:rsidRPr="008B5A05">
        <w:rPr>
          <w:rFonts w:ascii="Times New Roman" w:hAnsi="Times New Roman" w:cs="Times New Roman"/>
          <w:sz w:val="20"/>
          <w:szCs w:val="20"/>
        </w:rPr>
        <w:t xml:space="preserve">6. Assim, os efeitos jurídicos do art. 10 da Lei nº 11.171/05 somente foram gerados a partir da edição do Decreto nº 7.629/2011, sendo que, não obstante o fato de a contagem do interstício necessário para a concessão da progressão funcional iniciar-se no primeiro dia de exercício do servidor no cargo, inclusive para aqueles ingressos antes da vigência do regulamento, conforme art. 13, § 1º, </w:t>
      </w:r>
      <w:proofErr w:type="gramStart"/>
      <w:r w:rsidRPr="008B5A05">
        <w:rPr>
          <w:rFonts w:ascii="Times New Roman" w:hAnsi="Times New Roman" w:cs="Times New Roman"/>
          <w:sz w:val="20"/>
          <w:szCs w:val="20"/>
        </w:rPr>
        <w:t>houve expressa</w:t>
      </w:r>
      <w:proofErr w:type="gramEnd"/>
      <w:r w:rsidRPr="008B5A05">
        <w:rPr>
          <w:rFonts w:ascii="Times New Roman" w:hAnsi="Times New Roman" w:cs="Times New Roman"/>
          <w:sz w:val="20"/>
          <w:szCs w:val="20"/>
        </w:rPr>
        <w:t xml:space="preserve"> e inequívoca exclusão de efeitos financeiros retroativos no § 3º deste mesmo artigo do decreto, o que impede a sua concessão pelo Poder Judiciário. Nessa linha de entendimento, os seguintes julgados:</w:t>
      </w:r>
    </w:p>
    <w:p w:rsidR="00566064" w:rsidRPr="008B5A05" w:rsidRDefault="00566064" w:rsidP="00566064">
      <w:pPr>
        <w:ind w:left="567"/>
        <w:jc w:val="both"/>
        <w:rPr>
          <w:rFonts w:ascii="Times New Roman" w:hAnsi="Times New Roman" w:cs="Times New Roman"/>
          <w:sz w:val="20"/>
          <w:szCs w:val="20"/>
        </w:rPr>
      </w:pPr>
      <w:r w:rsidRPr="008B5A05">
        <w:rPr>
          <w:rFonts w:ascii="Times New Roman" w:hAnsi="Times New Roman" w:cs="Times New Roman"/>
          <w:sz w:val="20"/>
          <w:szCs w:val="20"/>
        </w:rPr>
        <w:t>...</w:t>
      </w:r>
    </w:p>
    <w:p w:rsidR="00566064" w:rsidRPr="008B5A05" w:rsidRDefault="00566064" w:rsidP="00566064">
      <w:pPr>
        <w:tabs>
          <w:tab w:val="left" w:pos="1418"/>
        </w:tabs>
        <w:ind w:left="567"/>
        <w:jc w:val="both"/>
        <w:rPr>
          <w:rFonts w:ascii="Times New Roman" w:hAnsi="Times New Roman" w:cs="Times New Roman"/>
          <w:sz w:val="20"/>
          <w:szCs w:val="20"/>
        </w:rPr>
      </w:pPr>
      <w:r w:rsidRPr="008B5A05">
        <w:rPr>
          <w:rFonts w:ascii="Times New Roman" w:hAnsi="Times New Roman" w:cs="Times New Roman"/>
          <w:sz w:val="20"/>
          <w:szCs w:val="20"/>
        </w:rPr>
        <w:lastRenderedPageBreak/>
        <w:t>7. A demora da Administração em regulamentar a progressão funcional em questão não tem qualquer implicação jurídica e não permite o afastamento da regra do art. 13, § 3º do Decreto nº 7.629/2011 sob qualquer fundamento (enriquecimento sem causa e violação aos princípios constitucionais da proporcionalidade e razoabilidade). Note-se que não se trata sequer de hipótese que autorizaria o manejo do mandado de injunção, pois a Constituição Federal de 1988, em seu art. 5º, LXXI, assegura a concessão de mandado de injunção sempre que a falta de norma regulamentadora torne inviável o exercício de direitos e liberdades constitucionais e das prerrogativas inerentes à nacionalidade, à soberania e à cidadania. Não é o caso, data máxima vênia, de questão relativa à progressão funcional de servidor público. 8. Recurso provido, para reformar a sentença e julgar improcedente o pedido, com resolução de mérito, nos termos do art. 487, I, do CPC de 2015. Sem condenação em custas e honorários de sucumbência.</w:t>
      </w:r>
    </w:p>
    <w:p w:rsidR="00566064" w:rsidRPr="008B5A05" w:rsidRDefault="00566064" w:rsidP="00566064">
      <w:pPr>
        <w:ind w:left="567"/>
        <w:jc w:val="both"/>
        <w:rPr>
          <w:rFonts w:ascii="Times New Roman" w:hAnsi="Times New Roman" w:cs="Times New Roman"/>
          <w:sz w:val="20"/>
          <w:szCs w:val="20"/>
        </w:rPr>
      </w:pPr>
      <w:r w:rsidRPr="008B5A05">
        <w:rPr>
          <w:rFonts w:ascii="Times New Roman" w:hAnsi="Times New Roman" w:cs="Times New Roman"/>
          <w:sz w:val="20"/>
          <w:szCs w:val="20"/>
        </w:rPr>
        <w:t>...</w:t>
      </w: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sz w:val="24"/>
          <w:szCs w:val="24"/>
        </w:rPr>
        <w:t xml:space="preserve">7. Verifica-se inicialmente que o acórdão paradigma não guarda similitude com o acórdão impugnado quanto à questão da eficácia do art. 10, parágrafo único da Lei 11.171/2005. Isso porque a 1ª Turma Recursal de Minas Gerais não analisou a matéria e não concedeu a progressão/promoção em razão do art. 13 do Decreto 7.629/2011 que concedeu à autora as progressões funcionais pretendidas nesta ação e a promoção para a classe subsequente, reconhecendo assim a procedência do pedido e a perda superveniente do objeto. </w:t>
      </w:r>
    </w:p>
    <w:p w:rsidR="00566064" w:rsidRPr="008B5A05" w:rsidRDefault="00566064" w:rsidP="00566064">
      <w:pPr>
        <w:jc w:val="both"/>
        <w:rPr>
          <w:rFonts w:ascii="Times New Roman" w:hAnsi="Times New Roman" w:cs="Times New Roman"/>
          <w:color w:val="000000" w:themeColor="text1"/>
          <w:sz w:val="24"/>
          <w:szCs w:val="24"/>
          <w:shd w:val="clear" w:color="auto" w:fill="FFFFFF"/>
        </w:rPr>
      </w:pPr>
      <w:r w:rsidRPr="008B5A05">
        <w:rPr>
          <w:rFonts w:ascii="Times New Roman" w:hAnsi="Times New Roman" w:cs="Times New Roman"/>
          <w:sz w:val="24"/>
          <w:szCs w:val="24"/>
        </w:rPr>
        <w:t xml:space="preserve">8. Cabe observar ainda que a Turma Nacional de Uniformização no julgamento do PEDILEF </w:t>
      </w:r>
      <w:r w:rsidRPr="008B5A05">
        <w:rPr>
          <w:rFonts w:ascii="Times New Roman" w:hAnsi="Times New Roman" w:cs="Times New Roman"/>
          <w:color w:val="000000" w:themeColor="text1"/>
          <w:sz w:val="24"/>
          <w:szCs w:val="24"/>
          <w:shd w:val="clear" w:color="auto" w:fill="FFFFFF"/>
        </w:rPr>
        <w:t>50497283020114047100</w:t>
      </w:r>
      <w:proofErr w:type="gramStart"/>
      <w:r w:rsidRPr="008B5A05">
        <w:rPr>
          <w:rFonts w:ascii="Times New Roman" w:hAnsi="Times New Roman" w:cs="Times New Roman"/>
          <w:color w:val="000000" w:themeColor="text1"/>
          <w:sz w:val="24"/>
          <w:szCs w:val="24"/>
          <w:shd w:val="clear" w:color="auto" w:fill="FFFFFF"/>
        </w:rPr>
        <w:t>, entendeu</w:t>
      </w:r>
      <w:proofErr w:type="gramEnd"/>
      <w:r w:rsidRPr="008B5A05">
        <w:rPr>
          <w:rFonts w:ascii="Times New Roman" w:hAnsi="Times New Roman" w:cs="Times New Roman"/>
          <w:color w:val="000000" w:themeColor="text1"/>
          <w:sz w:val="24"/>
          <w:szCs w:val="24"/>
          <w:shd w:val="clear" w:color="auto" w:fill="FFFFFF"/>
        </w:rPr>
        <w:t xml:space="preserve"> desnecessária a regulamentação, haja vista que o art. 10 da Lei 1.1717/05 já fixa os requisitos necessários à </w:t>
      </w:r>
      <w:r w:rsidRPr="008B5A05">
        <w:rPr>
          <w:rFonts w:ascii="Times New Roman" w:hAnsi="Times New Roman" w:cs="Times New Roman"/>
          <w:bCs/>
          <w:color w:val="000000" w:themeColor="text1"/>
          <w:sz w:val="24"/>
          <w:szCs w:val="24"/>
          <w:shd w:val="clear" w:color="auto" w:fill="FFFFFF"/>
        </w:rPr>
        <w:t>progressão funcional,</w:t>
      </w:r>
      <w:r w:rsidRPr="008B5A05">
        <w:rPr>
          <w:rFonts w:ascii="Times New Roman" w:hAnsi="Times New Roman" w:cs="Times New Roman"/>
          <w:color w:val="000000" w:themeColor="text1"/>
          <w:sz w:val="24"/>
          <w:szCs w:val="24"/>
          <w:shd w:val="clear" w:color="auto" w:fill="FFFFFF"/>
        </w:rPr>
        <w:t> quais sejam: (a) interstício mínimo de 1 (um) ano entre cada </w:t>
      </w:r>
      <w:r w:rsidRPr="008B5A05">
        <w:rPr>
          <w:rFonts w:ascii="Times New Roman" w:hAnsi="Times New Roman" w:cs="Times New Roman"/>
          <w:bCs/>
          <w:color w:val="000000" w:themeColor="text1"/>
          <w:sz w:val="24"/>
          <w:szCs w:val="24"/>
          <w:shd w:val="clear" w:color="auto" w:fill="FFFFFF"/>
        </w:rPr>
        <w:t>progressão</w:t>
      </w:r>
      <w:r w:rsidRPr="008B5A05">
        <w:rPr>
          <w:rFonts w:ascii="Times New Roman" w:hAnsi="Times New Roman" w:cs="Times New Roman"/>
          <w:color w:val="000000" w:themeColor="text1"/>
          <w:sz w:val="24"/>
          <w:szCs w:val="24"/>
          <w:shd w:val="clear" w:color="auto" w:fill="FFFFFF"/>
        </w:rPr>
        <w:t>; (b) avaliação de desempenho; (c) competência técnica e qualificação profissional; e (d) existência de vaga:</w:t>
      </w:r>
    </w:p>
    <w:p w:rsidR="00566064" w:rsidRPr="008B5A05" w:rsidRDefault="00566064" w:rsidP="00566064">
      <w:pPr>
        <w:tabs>
          <w:tab w:val="left" w:pos="709"/>
        </w:tabs>
        <w:ind w:left="567"/>
        <w:jc w:val="both"/>
        <w:rPr>
          <w:rFonts w:ascii="Times New Roman" w:hAnsi="Times New Roman" w:cs="Times New Roman"/>
          <w:color w:val="000000" w:themeColor="text1"/>
          <w:sz w:val="20"/>
          <w:szCs w:val="20"/>
          <w:shd w:val="clear" w:color="auto" w:fill="FFFFFF"/>
        </w:rPr>
      </w:pPr>
      <w:r w:rsidRPr="008B5A05">
        <w:rPr>
          <w:rFonts w:ascii="Times New Roman" w:hAnsi="Times New Roman" w:cs="Times New Roman"/>
          <w:color w:val="000000" w:themeColor="text1"/>
          <w:sz w:val="20"/>
          <w:szCs w:val="20"/>
          <w:shd w:val="clear" w:color="auto" w:fill="FFFFFF"/>
        </w:rPr>
        <w:t xml:space="preserve">ADMINISTRATIVO. </w:t>
      </w:r>
      <w:proofErr w:type="gramStart"/>
      <w:r w:rsidRPr="008B5A05">
        <w:rPr>
          <w:rFonts w:ascii="Times New Roman" w:hAnsi="Times New Roman" w:cs="Times New Roman"/>
          <w:color w:val="000000" w:themeColor="text1"/>
          <w:sz w:val="20"/>
          <w:szCs w:val="20"/>
          <w:shd w:val="clear" w:color="auto" w:fill="FFFFFF"/>
        </w:rPr>
        <w:t>IMPLEMENTAÇÃO</w:t>
      </w:r>
      <w:proofErr w:type="gramEnd"/>
      <w:r w:rsidRPr="008B5A05">
        <w:rPr>
          <w:rFonts w:ascii="Times New Roman" w:hAnsi="Times New Roman" w:cs="Times New Roman"/>
          <w:color w:val="000000" w:themeColor="text1"/>
          <w:sz w:val="20"/>
          <w:szCs w:val="20"/>
          <w:shd w:val="clear" w:color="auto" w:fill="FFFFFF"/>
        </w:rPr>
        <w:t xml:space="preserve"> DAS </w:t>
      </w:r>
      <w:r w:rsidRPr="008B5A05">
        <w:rPr>
          <w:rFonts w:ascii="Times New Roman" w:hAnsi="Times New Roman" w:cs="Times New Roman"/>
          <w:bCs/>
          <w:color w:val="000000" w:themeColor="text1"/>
          <w:sz w:val="20"/>
          <w:szCs w:val="20"/>
          <w:shd w:val="clear" w:color="auto" w:fill="FFFFFF"/>
        </w:rPr>
        <w:t>PROGRESSÕES FUNCIONAIS</w:t>
      </w:r>
      <w:r w:rsidRPr="008B5A05">
        <w:rPr>
          <w:rFonts w:ascii="Times New Roman" w:hAnsi="Times New Roman" w:cs="Times New Roman"/>
          <w:color w:val="000000" w:themeColor="text1"/>
          <w:sz w:val="20"/>
          <w:szCs w:val="20"/>
          <w:shd w:val="clear" w:color="auto" w:fill="FFFFFF"/>
        </w:rPr>
        <w:t> E PROMOÇÕES. SERVIDOR PÚBLICO FEDERAL DO DEPARTAMENTO NACIONAL DE INFRAESTRUTURA DE TRANSPORTE </w:t>
      </w:r>
      <w:r w:rsidRPr="008B5A05">
        <w:rPr>
          <w:rFonts w:ascii="Times New Roman" w:hAnsi="Times New Roman" w:cs="Times New Roman"/>
          <w:bCs/>
          <w:color w:val="000000" w:themeColor="text1"/>
          <w:sz w:val="20"/>
          <w:szCs w:val="20"/>
          <w:shd w:val="clear" w:color="auto" w:fill="FFFFFF"/>
        </w:rPr>
        <w:t>- DNIT.</w:t>
      </w:r>
      <w:r w:rsidRPr="008B5A05">
        <w:rPr>
          <w:rFonts w:ascii="Times New Roman" w:hAnsi="Times New Roman" w:cs="Times New Roman"/>
          <w:color w:val="000000" w:themeColor="text1"/>
          <w:sz w:val="20"/>
          <w:szCs w:val="20"/>
          <w:shd w:val="clear" w:color="auto" w:fill="FFFFFF"/>
        </w:rPr>
        <w:t> ART. 10 E 14, § 1º DA LEI 11.171/05. PRESCINDIBILIDADE REGULAMENTAÇÃO. QUESTÃO DE ORDEM 20 TNU. PROVIMENTO DO INCIDENTE. RETORNO À TR DE ORIGEM.</w:t>
      </w:r>
      <w:r w:rsidRPr="008B5A05">
        <w:rPr>
          <w:rFonts w:ascii="Times New Roman" w:hAnsi="Times New Roman" w:cs="Times New Roman"/>
          <w:sz w:val="20"/>
          <w:szCs w:val="20"/>
        </w:rPr>
        <w:t xml:space="preserve"> PEDILEF </w:t>
      </w:r>
      <w:r w:rsidRPr="008B5A05">
        <w:rPr>
          <w:rFonts w:ascii="Times New Roman" w:hAnsi="Times New Roman" w:cs="Times New Roman"/>
          <w:color w:val="000000" w:themeColor="text1"/>
          <w:sz w:val="20"/>
          <w:szCs w:val="20"/>
          <w:shd w:val="clear" w:color="auto" w:fill="FFFFFF"/>
        </w:rPr>
        <w:t>50497283020114047100, Relatora Juíza Federal ITÁLIA MARIA ZIMARDI ARÊAS POPPE BERTOZZI, DOU 21/10/2016.</w:t>
      </w: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color w:val="000000" w:themeColor="text1"/>
          <w:sz w:val="24"/>
          <w:szCs w:val="24"/>
          <w:shd w:val="clear" w:color="auto" w:fill="FFFFFF"/>
        </w:rPr>
        <w:t xml:space="preserve">9. Quanto à controvérsia sobre aos efeitos financeiros retroativos, excluídos pelo </w:t>
      </w:r>
      <w:r w:rsidRPr="008B5A05">
        <w:rPr>
          <w:rFonts w:ascii="Times New Roman" w:hAnsi="Times New Roman" w:cs="Times New Roman"/>
          <w:sz w:val="24"/>
          <w:szCs w:val="24"/>
        </w:rPr>
        <w:t xml:space="preserve">art. 13, §3 do Decreto </w:t>
      </w:r>
      <w:r w:rsidRPr="008B5A05">
        <w:rPr>
          <w:rFonts w:ascii="Times New Roman" w:hAnsi="Times New Roman" w:cs="Times New Roman"/>
          <w:noProof/>
          <w:sz w:val="24"/>
          <w:szCs w:val="24"/>
        </w:rPr>
        <w:t>nº</w:t>
      </w:r>
      <w:r w:rsidRPr="008B5A05">
        <w:rPr>
          <w:rFonts w:ascii="Times New Roman" w:hAnsi="Times New Roman" w:cs="Times New Roman"/>
          <w:sz w:val="24"/>
          <w:szCs w:val="24"/>
        </w:rPr>
        <w:t xml:space="preserve"> 7.629/11 que regulou a progressão funcional prevista na Lei 11.171/2011, </w:t>
      </w:r>
      <w:r w:rsidRPr="008B5A05">
        <w:rPr>
          <w:rFonts w:ascii="Times New Roman" w:hAnsi="Times New Roman" w:cs="Times New Roman"/>
          <w:color w:val="000000"/>
          <w:sz w:val="24"/>
          <w:szCs w:val="24"/>
        </w:rPr>
        <w:t>deve prevalecer o entendimento firmado no acórdão recorrido, pois se encontra em harmonia com a jurisprudência dominante desta Turma Regional de Uniformização no sentido de reconhecer o direito ao pagamento de parcelas retroativas decorrentes da progressão funcional prevista na Lei 11.171</w:t>
      </w:r>
      <w:r w:rsidRPr="008B5A05">
        <w:rPr>
          <w:rFonts w:ascii="Times New Roman" w:hAnsi="Times New Roman" w:cs="Times New Roman"/>
          <w:sz w:val="24"/>
          <w:szCs w:val="24"/>
        </w:rPr>
        <w:t xml:space="preserve">/2005, regulamentada pelo Decreto 7.629/2011. </w:t>
      </w:r>
      <w:proofErr w:type="gramStart"/>
      <w:r w:rsidRPr="008B5A05">
        <w:rPr>
          <w:rFonts w:ascii="Times New Roman" w:hAnsi="Times New Roman" w:cs="Times New Roman"/>
          <w:sz w:val="24"/>
          <w:szCs w:val="24"/>
        </w:rPr>
        <w:t>Confira-se</w:t>
      </w:r>
      <w:proofErr w:type="gramEnd"/>
      <w:r w:rsidRPr="008B5A05">
        <w:rPr>
          <w:rFonts w:ascii="Times New Roman" w:hAnsi="Times New Roman" w:cs="Times New Roman"/>
          <w:sz w:val="24"/>
          <w:szCs w:val="24"/>
        </w:rPr>
        <w:t xml:space="preserve"> as ementas: </w:t>
      </w:r>
    </w:p>
    <w:p w:rsidR="00566064" w:rsidRPr="008B5A05" w:rsidRDefault="00566064" w:rsidP="00566064">
      <w:pPr>
        <w:ind w:left="567"/>
        <w:jc w:val="both"/>
        <w:rPr>
          <w:rFonts w:ascii="Times New Roman" w:hAnsi="Times New Roman" w:cs="Times New Roman"/>
          <w:color w:val="000000" w:themeColor="text1"/>
          <w:sz w:val="20"/>
          <w:szCs w:val="20"/>
          <w:shd w:val="clear" w:color="auto" w:fill="FFFFFF"/>
        </w:rPr>
      </w:pPr>
      <w:r w:rsidRPr="008B5A05">
        <w:rPr>
          <w:rFonts w:ascii="Times New Roman" w:hAnsi="Times New Roman" w:cs="Times New Roman"/>
          <w:color w:val="000000" w:themeColor="text1"/>
          <w:sz w:val="20"/>
          <w:szCs w:val="20"/>
          <w:shd w:val="clear" w:color="auto" w:fill="FFFFFF"/>
        </w:rPr>
        <w:t>INCIDENTE DE UNIFORMIZAÇÃO REGIONAL. ADMINISTRATIVO. SERVIDOR PÚBLICO DNIT. PROGRESSÃO/PROMOÇÃO FUNCIONAL. EFEITOS FINANCEIROS. RETROATIVIDADE. POSSIBILIDADE. INCIDENTE NÃO PROVIDO. (Processo 0020534-26.2012.4.01.3800, Relator TALES KRAUSS QUEIROZ, Diário Eletrônico Publicação 07/06/2019</w:t>
      </w:r>
      <w:proofErr w:type="gramStart"/>
      <w:r w:rsidRPr="008B5A05">
        <w:rPr>
          <w:rFonts w:ascii="Times New Roman" w:hAnsi="Times New Roman" w:cs="Times New Roman"/>
          <w:color w:val="000000" w:themeColor="text1"/>
          <w:sz w:val="20"/>
          <w:szCs w:val="20"/>
          <w:shd w:val="clear" w:color="auto" w:fill="FFFFFF"/>
        </w:rPr>
        <w:t>)</w:t>
      </w:r>
      <w:proofErr w:type="gramEnd"/>
    </w:p>
    <w:p w:rsidR="00566064" w:rsidRPr="008B5A05" w:rsidRDefault="00566064" w:rsidP="00566064">
      <w:pPr>
        <w:ind w:left="567"/>
        <w:jc w:val="both"/>
        <w:rPr>
          <w:rFonts w:ascii="Times New Roman" w:hAnsi="Times New Roman" w:cs="Times New Roman"/>
          <w:color w:val="000000" w:themeColor="text1"/>
          <w:sz w:val="20"/>
          <w:szCs w:val="20"/>
          <w:shd w:val="clear" w:color="auto" w:fill="FFFFFF"/>
        </w:rPr>
      </w:pPr>
    </w:p>
    <w:p w:rsidR="00566064" w:rsidRPr="008B5A05" w:rsidRDefault="00566064" w:rsidP="00566064">
      <w:pPr>
        <w:ind w:left="567"/>
        <w:jc w:val="both"/>
        <w:rPr>
          <w:rFonts w:ascii="Times New Roman" w:hAnsi="Times New Roman" w:cs="Times New Roman"/>
          <w:color w:val="000000" w:themeColor="text1"/>
          <w:sz w:val="20"/>
          <w:szCs w:val="20"/>
          <w:shd w:val="clear" w:color="auto" w:fill="FFFFFF"/>
        </w:rPr>
      </w:pPr>
      <w:r w:rsidRPr="008B5A05">
        <w:rPr>
          <w:rFonts w:ascii="Times New Roman" w:hAnsi="Times New Roman" w:cs="Times New Roman"/>
          <w:color w:val="000000" w:themeColor="text1"/>
          <w:sz w:val="20"/>
          <w:szCs w:val="20"/>
          <w:shd w:val="clear" w:color="auto" w:fill="FFFFFF"/>
        </w:rPr>
        <w:t>TURMA REGIONAL DE UNIFORMIZAÇÃO. INCIDENTE DE UNIFORMIZAÇÃO. </w:t>
      </w:r>
      <w:r w:rsidRPr="008B5A05">
        <w:rPr>
          <w:rFonts w:ascii="Times New Roman" w:hAnsi="Times New Roman" w:cs="Times New Roman"/>
          <w:bCs/>
          <w:color w:val="000000" w:themeColor="text1"/>
          <w:sz w:val="20"/>
          <w:szCs w:val="20"/>
          <w:shd w:val="clear" w:color="auto" w:fill="FFFFFF"/>
        </w:rPr>
        <w:t>DNIT. PROGRESSÃO</w:t>
      </w:r>
      <w:r w:rsidRPr="008B5A05">
        <w:rPr>
          <w:rFonts w:ascii="Times New Roman" w:hAnsi="Times New Roman" w:cs="Times New Roman"/>
          <w:color w:val="000000" w:themeColor="text1"/>
          <w:sz w:val="20"/>
          <w:szCs w:val="20"/>
          <w:shd w:val="clear" w:color="auto" w:fill="FFFFFF"/>
        </w:rPr>
        <w:t> E PROMOÇÃO </w:t>
      </w:r>
      <w:r w:rsidRPr="008B5A05">
        <w:rPr>
          <w:rFonts w:ascii="Times New Roman" w:hAnsi="Times New Roman" w:cs="Times New Roman"/>
          <w:bCs/>
          <w:color w:val="000000" w:themeColor="text1"/>
          <w:sz w:val="20"/>
          <w:szCs w:val="20"/>
          <w:shd w:val="clear" w:color="auto" w:fill="FFFFFF"/>
        </w:rPr>
        <w:t>FUNCIONAL.</w:t>
      </w:r>
      <w:r w:rsidRPr="008B5A05">
        <w:rPr>
          <w:rFonts w:ascii="Times New Roman" w:hAnsi="Times New Roman" w:cs="Times New Roman"/>
          <w:color w:val="000000" w:themeColor="text1"/>
          <w:sz w:val="20"/>
          <w:szCs w:val="20"/>
          <w:shd w:val="clear" w:color="auto" w:fill="FFFFFF"/>
        </w:rPr>
        <w:t> PAGAMENTO DE </w:t>
      </w:r>
      <w:r w:rsidRPr="008B5A05">
        <w:rPr>
          <w:rFonts w:ascii="Times New Roman" w:hAnsi="Times New Roman" w:cs="Times New Roman"/>
          <w:bCs/>
          <w:color w:val="000000" w:themeColor="text1"/>
          <w:sz w:val="20"/>
          <w:szCs w:val="20"/>
          <w:shd w:val="clear" w:color="auto" w:fill="FFFFFF"/>
        </w:rPr>
        <w:t xml:space="preserve">EFEITOS </w:t>
      </w:r>
      <w:r w:rsidRPr="008B5A05">
        <w:rPr>
          <w:rFonts w:ascii="Times New Roman" w:hAnsi="Times New Roman" w:cs="Times New Roman"/>
          <w:bCs/>
          <w:color w:val="000000" w:themeColor="text1"/>
          <w:sz w:val="20"/>
          <w:szCs w:val="20"/>
          <w:shd w:val="clear" w:color="auto" w:fill="FFFFFF"/>
        </w:rPr>
        <w:lastRenderedPageBreak/>
        <w:t>FINANCEIROS</w:t>
      </w:r>
      <w:r w:rsidRPr="008B5A05">
        <w:rPr>
          <w:rFonts w:ascii="Times New Roman" w:hAnsi="Times New Roman" w:cs="Times New Roman"/>
          <w:color w:val="000000" w:themeColor="text1"/>
          <w:sz w:val="20"/>
          <w:szCs w:val="20"/>
          <w:shd w:val="clear" w:color="auto" w:fill="FFFFFF"/>
        </w:rPr>
        <w:t> RETROATIVOS. DECRETO N. 7.629/11. 1. A controvérsia cinge-se à aferição do cabimento dos valores pretéritos, proibidos expressamente pelo Decreto nº 7.629/11. O Decreto supracitado regulou a </w:t>
      </w:r>
      <w:r w:rsidRPr="008B5A05">
        <w:rPr>
          <w:rFonts w:ascii="Times New Roman" w:hAnsi="Times New Roman" w:cs="Times New Roman"/>
          <w:bCs/>
          <w:color w:val="000000" w:themeColor="text1"/>
          <w:sz w:val="20"/>
          <w:szCs w:val="20"/>
          <w:shd w:val="clear" w:color="auto" w:fill="FFFFFF"/>
        </w:rPr>
        <w:t>progressão funcional</w:t>
      </w:r>
      <w:r w:rsidRPr="008B5A05">
        <w:rPr>
          <w:rFonts w:ascii="Times New Roman" w:hAnsi="Times New Roman" w:cs="Times New Roman"/>
          <w:color w:val="000000" w:themeColor="text1"/>
          <w:sz w:val="20"/>
          <w:szCs w:val="20"/>
          <w:shd w:val="clear" w:color="auto" w:fill="FFFFFF"/>
        </w:rPr>
        <w:t> prevista na Lei nº 11.171/2005, mas vedou os </w:t>
      </w:r>
      <w:r w:rsidRPr="008B5A05">
        <w:rPr>
          <w:rFonts w:ascii="Times New Roman" w:hAnsi="Times New Roman" w:cs="Times New Roman"/>
          <w:bCs/>
          <w:color w:val="000000" w:themeColor="text1"/>
          <w:sz w:val="20"/>
          <w:szCs w:val="20"/>
          <w:shd w:val="clear" w:color="auto" w:fill="FFFFFF"/>
        </w:rPr>
        <w:t>efeitos</w:t>
      </w:r>
      <w:r w:rsidRPr="008B5A05">
        <w:rPr>
          <w:rFonts w:ascii="Times New Roman" w:hAnsi="Times New Roman" w:cs="Times New Roman"/>
          <w:color w:val="000000" w:themeColor="text1"/>
          <w:sz w:val="20"/>
          <w:szCs w:val="20"/>
          <w:shd w:val="clear" w:color="auto" w:fill="FFFFFF"/>
        </w:rPr>
        <w:t> retroativos disso decorrentes. 2. Na esteira do entendimento da TNU, Decreto Regulamentador pode especificar os requisitos previstos em lei, mas não poderia vedar a retroatividade dos valores pretéritos a contar de sua publicação, ignorando por completo a data em que o servidor público ingressou no órgão e que preencheu os pressupostos para a sua </w:t>
      </w:r>
      <w:r w:rsidRPr="008B5A05">
        <w:rPr>
          <w:rFonts w:ascii="Times New Roman" w:hAnsi="Times New Roman" w:cs="Times New Roman"/>
          <w:bCs/>
          <w:color w:val="000000" w:themeColor="text1"/>
          <w:sz w:val="20"/>
          <w:szCs w:val="20"/>
          <w:shd w:val="clear" w:color="auto" w:fill="FFFFFF"/>
        </w:rPr>
        <w:t>progressão,</w:t>
      </w:r>
      <w:r w:rsidRPr="008B5A05">
        <w:rPr>
          <w:rFonts w:ascii="Times New Roman" w:hAnsi="Times New Roman" w:cs="Times New Roman"/>
          <w:color w:val="000000" w:themeColor="text1"/>
          <w:sz w:val="20"/>
          <w:szCs w:val="20"/>
          <w:shd w:val="clear" w:color="auto" w:fill="FFFFFF"/>
        </w:rPr>
        <w:t> notadamente porque a restrição não se encontra presente na lei regulamentada (Lei nº 11.171/05). 3. Incidente de Uniformização desprovido. (Processo 0048163-72.2012.4.01.3800, Relator GUILHERME MICHELAZZO BUENO, Diário Eletrônico Publicação 23/11/2018).</w:t>
      </w:r>
    </w:p>
    <w:p w:rsidR="00566064" w:rsidRPr="008B5A05" w:rsidRDefault="00566064" w:rsidP="00566064">
      <w:pPr>
        <w:ind w:left="567"/>
        <w:jc w:val="both"/>
        <w:rPr>
          <w:rFonts w:ascii="Times New Roman" w:hAnsi="Times New Roman" w:cs="Times New Roman"/>
          <w:color w:val="000000" w:themeColor="text1"/>
          <w:sz w:val="20"/>
          <w:szCs w:val="20"/>
          <w:shd w:val="clear" w:color="auto" w:fill="FFFFFF"/>
        </w:rPr>
      </w:pPr>
      <w:r w:rsidRPr="008B5A05">
        <w:rPr>
          <w:rFonts w:ascii="Times New Roman" w:hAnsi="Times New Roman" w:cs="Times New Roman"/>
          <w:color w:val="000000" w:themeColor="text1"/>
          <w:sz w:val="20"/>
          <w:szCs w:val="20"/>
          <w:shd w:val="clear" w:color="auto" w:fill="FFFFFF"/>
        </w:rPr>
        <w:t>ADMINISTRATIVO. SERVIDOR PÚBLICO. </w:t>
      </w:r>
      <w:r w:rsidRPr="008B5A05">
        <w:rPr>
          <w:rFonts w:ascii="Times New Roman" w:hAnsi="Times New Roman" w:cs="Times New Roman"/>
          <w:bCs/>
          <w:color w:val="000000" w:themeColor="text1"/>
          <w:sz w:val="20"/>
          <w:szCs w:val="20"/>
          <w:shd w:val="clear" w:color="auto" w:fill="FFFFFF"/>
        </w:rPr>
        <w:t>DNIT. PROGRESSÃO</w:t>
      </w:r>
      <w:r w:rsidRPr="008B5A05">
        <w:rPr>
          <w:rFonts w:ascii="Times New Roman" w:hAnsi="Times New Roman" w:cs="Times New Roman"/>
          <w:color w:val="000000" w:themeColor="text1"/>
          <w:sz w:val="20"/>
          <w:szCs w:val="20"/>
          <w:shd w:val="clear" w:color="auto" w:fill="FFFFFF"/>
        </w:rPr>
        <w:t> E PROMOÇÃO </w:t>
      </w:r>
      <w:r w:rsidRPr="008B5A05">
        <w:rPr>
          <w:rFonts w:ascii="Times New Roman" w:hAnsi="Times New Roman" w:cs="Times New Roman"/>
          <w:bCs/>
          <w:color w:val="000000" w:themeColor="text1"/>
          <w:sz w:val="20"/>
          <w:szCs w:val="20"/>
          <w:shd w:val="clear" w:color="auto" w:fill="FFFFFF"/>
        </w:rPr>
        <w:t>FUNCIONAL.</w:t>
      </w:r>
      <w:r w:rsidRPr="008B5A05">
        <w:rPr>
          <w:rFonts w:ascii="Times New Roman" w:hAnsi="Times New Roman" w:cs="Times New Roman"/>
          <w:color w:val="000000" w:themeColor="text1"/>
          <w:sz w:val="20"/>
          <w:szCs w:val="20"/>
          <w:shd w:val="clear" w:color="auto" w:fill="FFFFFF"/>
        </w:rPr>
        <w:t> LEI 11.171/2005. REGULAMENTAÇÃO SOMENTE A PARTIR DO DECRETO 7.629/2011. </w:t>
      </w:r>
      <w:r w:rsidRPr="008B5A05">
        <w:rPr>
          <w:rFonts w:ascii="Times New Roman" w:hAnsi="Times New Roman" w:cs="Times New Roman"/>
          <w:bCs/>
          <w:color w:val="000000" w:themeColor="text1"/>
          <w:sz w:val="20"/>
          <w:szCs w:val="20"/>
          <w:shd w:val="clear" w:color="auto" w:fill="FFFFFF"/>
        </w:rPr>
        <w:t>PROGRESSÕES</w:t>
      </w:r>
      <w:r w:rsidRPr="008B5A05">
        <w:rPr>
          <w:rFonts w:ascii="Times New Roman" w:hAnsi="Times New Roman" w:cs="Times New Roman"/>
          <w:color w:val="000000" w:themeColor="text1"/>
          <w:sz w:val="20"/>
          <w:szCs w:val="20"/>
          <w:shd w:val="clear" w:color="auto" w:fill="FFFFFF"/>
        </w:rPr>
        <w:t> RECONHECIDAS. PERDA SUPERVENIENTE DO OBJETO. VEDAÇÃO ILEGAL DOS </w:t>
      </w:r>
      <w:r w:rsidRPr="008B5A05">
        <w:rPr>
          <w:rFonts w:ascii="Times New Roman" w:hAnsi="Times New Roman" w:cs="Times New Roman"/>
          <w:bCs/>
          <w:color w:val="000000" w:themeColor="text1"/>
          <w:sz w:val="20"/>
          <w:szCs w:val="20"/>
          <w:shd w:val="clear" w:color="auto" w:fill="FFFFFF"/>
        </w:rPr>
        <w:t>EFEITOS</w:t>
      </w:r>
      <w:r w:rsidRPr="008B5A05">
        <w:rPr>
          <w:rFonts w:ascii="Times New Roman" w:hAnsi="Times New Roman" w:cs="Times New Roman"/>
          <w:color w:val="000000" w:themeColor="text1"/>
          <w:sz w:val="20"/>
          <w:szCs w:val="20"/>
          <w:shd w:val="clear" w:color="auto" w:fill="FFFFFF"/>
        </w:rPr>
        <w:t> RETROATIVOS NO REGULAMENTO. MATÉRIA PRÓPRIA DE LEI FORMAL. RECURSO PROVIDO. SENTENÇA REFORMADA. (0025611-86.2011.4.01.3400, Relator MÁRCIO FLÁVIO MAFRA LEAL, Diário Eletrônico Publicação 18/08/2017</w:t>
      </w:r>
      <w:proofErr w:type="gramStart"/>
      <w:r w:rsidRPr="008B5A05">
        <w:rPr>
          <w:rFonts w:ascii="Times New Roman" w:hAnsi="Times New Roman" w:cs="Times New Roman"/>
          <w:color w:val="000000" w:themeColor="text1"/>
          <w:sz w:val="20"/>
          <w:szCs w:val="20"/>
          <w:shd w:val="clear" w:color="auto" w:fill="FFFFFF"/>
        </w:rPr>
        <w:t>)</w:t>
      </w:r>
      <w:proofErr w:type="gramEnd"/>
    </w:p>
    <w:p w:rsidR="00566064" w:rsidRPr="008B5A05" w:rsidRDefault="00566064" w:rsidP="00566064">
      <w:pPr>
        <w:jc w:val="both"/>
        <w:rPr>
          <w:rFonts w:ascii="Times New Roman" w:hAnsi="Times New Roman" w:cs="Times New Roman"/>
          <w:sz w:val="24"/>
          <w:szCs w:val="24"/>
        </w:rPr>
      </w:pP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sz w:val="24"/>
          <w:szCs w:val="24"/>
        </w:rPr>
        <w:t xml:space="preserve">10. Nesse contexto, observo que a) quanto à questão da eficácia do art. 10, parágrafo único da Lei 11.171/2005, falta ao incidente manejado o requisito de admissibilidade similitude e b) quanto ao </w:t>
      </w:r>
      <w:r w:rsidRPr="008B5A05">
        <w:rPr>
          <w:rFonts w:ascii="Times New Roman" w:hAnsi="Times New Roman" w:cs="Times New Roman"/>
          <w:color w:val="000000"/>
          <w:sz w:val="24"/>
          <w:szCs w:val="24"/>
        </w:rPr>
        <w:t>direito ao pagamento de parcelas retroativas decorrentes da progressão funcional prevista na Lei 11.171</w:t>
      </w:r>
      <w:r w:rsidRPr="008B5A05">
        <w:rPr>
          <w:rFonts w:ascii="Times New Roman" w:hAnsi="Times New Roman" w:cs="Times New Roman"/>
          <w:sz w:val="24"/>
          <w:szCs w:val="24"/>
        </w:rPr>
        <w:t xml:space="preserve">/2005, regulamentada pelo Decreto 7.629/2011, adequação do acórdão impugnado à </w:t>
      </w:r>
      <w:r w:rsidRPr="008B5A05">
        <w:rPr>
          <w:rFonts w:ascii="Times New Roman" w:hAnsi="Times New Roman" w:cs="Times New Roman"/>
          <w:color w:val="000000"/>
          <w:sz w:val="24"/>
          <w:szCs w:val="24"/>
        </w:rPr>
        <w:t>jurisprudência dominante desta Turma Regional de Uniformização.</w:t>
      </w:r>
    </w:p>
    <w:p w:rsidR="00566064" w:rsidRPr="008B5A05" w:rsidRDefault="00566064" w:rsidP="00566064">
      <w:pPr>
        <w:jc w:val="both"/>
        <w:rPr>
          <w:rFonts w:ascii="Times New Roman" w:hAnsi="Times New Roman" w:cs="Times New Roman"/>
          <w:sz w:val="24"/>
          <w:szCs w:val="24"/>
        </w:rPr>
      </w:pPr>
      <w:r w:rsidRPr="008B5A05">
        <w:rPr>
          <w:rFonts w:ascii="Times New Roman" w:hAnsi="Times New Roman" w:cs="Times New Roman"/>
          <w:sz w:val="24"/>
          <w:szCs w:val="24"/>
        </w:rPr>
        <w:t xml:space="preserve">11. </w:t>
      </w:r>
      <w:proofErr w:type="spellStart"/>
      <w:r w:rsidRPr="008B5A05">
        <w:rPr>
          <w:rFonts w:ascii="Times New Roman" w:hAnsi="Times New Roman" w:cs="Times New Roman"/>
          <w:sz w:val="24"/>
          <w:szCs w:val="24"/>
        </w:rPr>
        <w:t>Dessarte</w:t>
      </w:r>
      <w:proofErr w:type="spellEnd"/>
      <w:r w:rsidRPr="008B5A05">
        <w:rPr>
          <w:rFonts w:ascii="Times New Roman" w:hAnsi="Times New Roman" w:cs="Times New Roman"/>
          <w:sz w:val="24"/>
          <w:szCs w:val="24"/>
        </w:rPr>
        <w:t xml:space="preserve">, </w:t>
      </w:r>
      <w:r w:rsidR="00C1419C">
        <w:rPr>
          <w:rFonts w:ascii="Times New Roman" w:eastAsia="Times New Roman" w:hAnsi="Times New Roman" w:cs="Times New Roman"/>
          <w:color w:val="000000"/>
          <w:sz w:val="24"/>
          <w:szCs w:val="24"/>
        </w:rPr>
        <w:t>nego</w:t>
      </w:r>
      <w:r w:rsidRPr="008B5A05">
        <w:rPr>
          <w:rFonts w:ascii="Times New Roman" w:eastAsia="Times New Roman" w:hAnsi="Times New Roman" w:cs="Times New Roman"/>
          <w:color w:val="000000"/>
          <w:sz w:val="24"/>
          <w:szCs w:val="24"/>
        </w:rPr>
        <w:t xml:space="preserve"> </w:t>
      </w:r>
      <w:r w:rsidRPr="008B5A05">
        <w:rPr>
          <w:rFonts w:ascii="Times New Roman" w:hAnsi="Times New Roman" w:cs="Times New Roman"/>
          <w:sz w:val="24"/>
          <w:szCs w:val="24"/>
        </w:rPr>
        <w:t xml:space="preserve">provimento ao Agravo Interno manejado pelo DNIT e não </w:t>
      </w:r>
      <w:r w:rsidR="00C1419C">
        <w:rPr>
          <w:rFonts w:ascii="Times New Roman" w:hAnsi="Times New Roman" w:cs="Times New Roman"/>
          <w:sz w:val="24"/>
          <w:szCs w:val="24"/>
        </w:rPr>
        <w:t>admito</w:t>
      </w:r>
      <w:r w:rsidRPr="008B5A05">
        <w:rPr>
          <w:rFonts w:ascii="Times New Roman" w:hAnsi="Times New Roman" w:cs="Times New Roman"/>
          <w:sz w:val="24"/>
          <w:szCs w:val="24"/>
        </w:rPr>
        <w:t xml:space="preserve"> o Incidente de</w:t>
      </w:r>
      <w:proofErr w:type="gramStart"/>
      <w:r w:rsidRPr="008B5A05">
        <w:rPr>
          <w:rFonts w:ascii="Times New Roman" w:hAnsi="Times New Roman" w:cs="Times New Roman"/>
          <w:sz w:val="24"/>
          <w:szCs w:val="24"/>
        </w:rPr>
        <w:t xml:space="preserve">   </w:t>
      </w:r>
      <w:proofErr w:type="gramEnd"/>
      <w:r w:rsidRPr="008B5A05">
        <w:rPr>
          <w:rFonts w:ascii="Times New Roman" w:hAnsi="Times New Roman" w:cs="Times New Roman"/>
          <w:sz w:val="24"/>
          <w:szCs w:val="24"/>
        </w:rPr>
        <w:t xml:space="preserve">Uniformização de Jurisprudência Regional, com fulcro no art. 84, VIII, alíneas c, h da Resolução 33/2021 (Regimento interno dos Juizados Especiais Federais, Turmas Recursais e Turma Regional de Uniformização de Jurisprudência dos Juizados Especiais Federais da 1ª Região). </w:t>
      </w:r>
    </w:p>
    <w:p w:rsidR="00026C1E" w:rsidRDefault="00026C1E" w:rsidP="00026C1E">
      <w:pPr>
        <w:autoSpaceDE w:val="0"/>
        <w:autoSpaceDN w:val="0"/>
        <w:adjustRightInd w:val="0"/>
        <w:spacing w:after="0" w:line="240" w:lineRule="auto"/>
        <w:ind w:left="-142"/>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ACÓRDÃO</w:t>
      </w:r>
    </w:p>
    <w:p w:rsidR="00026C1E" w:rsidRDefault="00026C1E" w:rsidP="00026C1E">
      <w:pPr>
        <w:autoSpaceDE w:val="0"/>
        <w:autoSpaceDN w:val="0"/>
        <w:adjustRightInd w:val="0"/>
        <w:spacing w:after="0" w:line="240" w:lineRule="auto"/>
        <w:ind w:left="-142"/>
        <w:jc w:val="both"/>
        <w:rPr>
          <w:rFonts w:ascii="Times New Roman" w:eastAsia="Times New Roman" w:hAnsi="Times New Roman" w:cs="Times New Roman"/>
          <w:b/>
          <w:bCs/>
          <w:color w:val="000000"/>
          <w:sz w:val="24"/>
          <w:szCs w:val="24"/>
        </w:rPr>
      </w:pPr>
    </w:p>
    <w:p w:rsidR="00026C1E" w:rsidRPr="00251374" w:rsidRDefault="00026C1E" w:rsidP="00026C1E">
      <w:pPr>
        <w:autoSpaceDE w:val="0"/>
        <w:autoSpaceDN w:val="0"/>
        <w:adjustRightInd w:val="0"/>
        <w:spacing w:after="0" w:line="240" w:lineRule="auto"/>
        <w:ind w:left="-142"/>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ab/>
      </w:r>
      <w:r w:rsidRPr="00251374">
        <w:rPr>
          <w:rFonts w:ascii="Times New Roman" w:eastAsia="Times New Roman" w:hAnsi="Times New Roman" w:cs="Times New Roman"/>
          <w:bCs/>
          <w:color w:val="000000"/>
          <w:sz w:val="24"/>
          <w:szCs w:val="24"/>
        </w:rPr>
        <w:t xml:space="preserve">                         Decide a Turma Regional de Uniformização de Jurisprudência das Turmas Recursais dos Juizados Especiais Federais da Primeira Região </w:t>
      </w:r>
      <w:r>
        <w:rPr>
          <w:rFonts w:ascii="Times New Roman" w:eastAsia="Times New Roman" w:hAnsi="Times New Roman" w:cs="Times New Roman"/>
          <w:bCs/>
          <w:color w:val="000000"/>
          <w:sz w:val="24"/>
          <w:szCs w:val="24"/>
        </w:rPr>
        <w:t xml:space="preserve">negar provimento ao Agravo Interno e não admitir o Incidente de Uniformização de Jurisprudência </w:t>
      </w:r>
      <w:proofErr w:type="spellStart"/>
      <w:proofErr w:type="gramStart"/>
      <w:r>
        <w:rPr>
          <w:rFonts w:ascii="Times New Roman" w:eastAsia="Times New Roman" w:hAnsi="Times New Roman" w:cs="Times New Roman"/>
          <w:bCs/>
          <w:color w:val="000000"/>
          <w:sz w:val="24"/>
          <w:szCs w:val="24"/>
        </w:rPr>
        <w:t>REgional</w:t>
      </w:r>
      <w:proofErr w:type="spellEnd"/>
      <w:proofErr w:type="gramEnd"/>
      <w:r>
        <w:rPr>
          <w:rFonts w:ascii="Times New Roman" w:eastAsia="Times New Roman" w:hAnsi="Times New Roman" w:cs="Times New Roman"/>
          <w:bCs/>
          <w:color w:val="000000"/>
          <w:sz w:val="24"/>
          <w:szCs w:val="24"/>
        </w:rPr>
        <w:t xml:space="preserve"> com fulcro no art. 84, VIII, alíneas c, h (Resolução 33/2021 que aprovou o regimento interno dos Juizados Especiais Federais da 1 Região), na forma do voto , proferido pelo juiz relator e da ementa que integram este julgado, cujo resultado consta da certidão lavrada pelo(a) secretário(a);</w:t>
      </w:r>
    </w:p>
    <w:p w:rsidR="00026C1E" w:rsidRPr="008B5A05" w:rsidRDefault="00026C1E" w:rsidP="00026C1E">
      <w:pPr>
        <w:tabs>
          <w:tab w:val="left" w:pos="2552"/>
          <w:tab w:val="left" w:pos="2694"/>
        </w:tabs>
        <w:spacing w:after="0" w:line="256" w:lineRule="auto"/>
        <w:ind w:left="-142" w:firstLine="993"/>
        <w:jc w:val="both"/>
        <w:rPr>
          <w:rFonts w:ascii="Times New Roman" w:eastAsia="Times New Roman" w:hAnsi="Times New Roman" w:cs="Times New Roman"/>
          <w:sz w:val="24"/>
          <w:szCs w:val="24"/>
          <w:lang w:eastAsia="pt-BR"/>
        </w:rPr>
      </w:pPr>
      <w:r w:rsidRPr="008B5A05">
        <w:rPr>
          <w:rFonts w:ascii="Times New Roman" w:eastAsia="Times New Roman" w:hAnsi="Times New Roman" w:cs="Times New Roman"/>
          <w:sz w:val="24"/>
          <w:szCs w:val="24"/>
          <w:lang w:eastAsia="pt-BR"/>
        </w:rPr>
        <w:t xml:space="preserve">Juiz de Fora/MG, 26 de novembro de 2021. </w:t>
      </w:r>
    </w:p>
    <w:p w:rsidR="00026C1E" w:rsidRPr="008B5A05" w:rsidRDefault="00026C1E" w:rsidP="00026C1E">
      <w:pPr>
        <w:tabs>
          <w:tab w:val="left" w:pos="2552"/>
          <w:tab w:val="left" w:pos="2694"/>
        </w:tabs>
        <w:spacing w:after="0" w:line="256" w:lineRule="auto"/>
        <w:ind w:left="-142" w:firstLine="993"/>
        <w:jc w:val="both"/>
        <w:rPr>
          <w:rFonts w:ascii="Times New Roman" w:eastAsia="Times New Roman" w:hAnsi="Times New Roman" w:cs="Times New Roman"/>
          <w:sz w:val="24"/>
          <w:szCs w:val="24"/>
          <w:lang w:eastAsia="pt-BR"/>
        </w:rPr>
      </w:pPr>
    </w:p>
    <w:p w:rsidR="00566064" w:rsidRPr="008B5A05" w:rsidRDefault="00566064" w:rsidP="00566064">
      <w:pPr>
        <w:pStyle w:val="Default"/>
        <w:ind w:left="851" w:firstLine="567"/>
        <w:jc w:val="both"/>
      </w:pPr>
    </w:p>
    <w:p w:rsidR="00566064" w:rsidRPr="008B5A05" w:rsidRDefault="00566064" w:rsidP="0056606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851" w:hanging="851"/>
        <w:jc w:val="center"/>
        <w:rPr>
          <w:rFonts w:ascii="Times New Roman" w:hAnsi="Times New Roman" w:cs="Times New Roman"/>
          <w:b/>
          <w:bCs/>
          <w:sz w:val="24"/>
          <w:szCs w:val="24"/>
        </w:rPr>
      </w:pPr>
      <w:r w:rsidRPr="008B5A05">
        <w:rPr>
          <w:rFonts w:ascii="Times New Roman" w:hAnsi="Times New Roman" w:cs="Times New Roman"/>
          <w:sz w:val="24"/>
          <w:szCs w:val="24"/>
        </w:rPr>
        <w:t xml:space="preserve">Juiz Federal </w:t>
      </w:r>
      <w:r w:rsidRPr="008B5A05">
        <w:rPr>
          <w:rFonts w:ascii="Times New Roman" w:hAnsi="Times New Roman" w:cs="Times New Roman"/>
          <w:b/>
          <w:bCs/>
          <w:sz w:val="24"/>
          <w:szCs w:val="24"/>
        </w:rPr>
        <w:t>Guilherme Fabiano Julien de Rezende</w:t>
      </w:r>
    </w:p>
    <w:p w:rsidR="00566064" w:rsidRPr="008B5A05" w:rsidRDefault="00566064" w:rsidP="0056606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left="851" w:hanging="851"/>
        <w:jc w:val="center"/>
        <w:rPr>
          <w:rFonts w:ascii="Times New Roman" w:hAnsi="Times New Roman" w:cs="Times New Roman"/>
          <w:sz w:val="24"/>
          <w:szCs w:val="24"/>
        </w:rPr>
      </w:pPr>
      <w:r w:rsidRPr="008B5A05">
        <w:rPr>
          <w:rFonts w:ascii="Times New Roman" w:hAnsi="Times New Roman" w:cs="Times New Roman"/>
          <w:sz w:val="24"/>
          <w:szCs w:val="24"/>
        </w:rPr>
        <w:t>Relator</w:t>
      </w:r>
    </w:p>
    <w:p w:rsidR="00566064" w:rsidRPr="008B5A05" w:rsidRDefault="00566064" w:rsidP="00566064">
      <w:pPr>
        <w:spacing w:after="0" w:line="240" w:lineRule="auto"/>
        <w:jc w:val="both"/>
        <w:rPr>
          <w:rFonts w:ascii="Times New Roman" w:hAnsi="Times New Roman" w:cs="Times New Roman"/>
          <w:b/>
          <w:sz w:val="24"/>
          <w:szCs w:val="24"/>
          <w:lang w:eastAsia="pt-BR"/>
        </w:rPr>
      </w:pPr>
    </w:p>
    <w:sectPr w:rsidR="00566064" w:rsidRPr="008B5A05" w:rsidSect="00B13B7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22091"/>
    <w:rsid w:val="00026C1E"/>
    <w:rsid w:val="00240D62"/>
    <w:rsid w:val="00251374"/>
    <w:rsid w:val="004845B3"/>
    <w:rsid w:val="004C1577"/>
    <w:rsid w:val="00566064"/>
    <w:rsid w:val="005E1F3C"/>
    <w:rsid w:val="00826642"/>
    <w:rsid w:val="008436E5"/>
    <w:rsid w:val="008B0AC9"/>
    <w:rsid w:val="00A17022"/>
    <w:rsid w:val="00B13B79"/>
    <w:rsid w:val="00C1419C"/>
    <w:rsid w:val="00C33839"/>
    <w:rsid w:val="00D3387B"/>
    <w:rsid w:val="00E85FEB"/>
    <w:rsid w:val="00F22091"/>
    <w:rsid w:val="00F55DC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091"/>
    <w:pPr>
      <w:spacing w:after="160" w:line="259" w:lineRule="auto"/>
    </w:pPr>
  </w:style>
  <w:style w:type="paragraph" w:styleId="Ttulo1">
    <w:name w:val="heading 1"/>
    <w:basedOn w:val="Normal"/>
    <w:next w:val="Normal"/>
    <w:link w:val="Ttulo1Char"/>
    <w:uiPriority w:val="9"/>
    <w:qFormat/>
    <w:rsid w:val="005660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66064"/>
    <w:rPr>
      <w:rFonts w:asciiTheme="majorHAnsi" w:eastAsiaTheme="majorEastAsia" w:hAnsiTheme="majorHAnsi" w:cstheme="majorBidi"/>
      <w:color w:val="365F91" w:themeColor="accent1" w:themeShade="BF"/>
      <w:sz w:val="32"/>
      <w:szCs w:val="32"/>
    </w:rPr>
  </w:style>
  <w:style w:type="character" w:styleId="nfase">
    <w:name w:val="Emphasis"/>
    <w:basedOn w:val="Fontepargpadro"/>
    <w:uiPriority w:val="20"/>
    <w:qFormat/>
    <w:rsid w:val="00566064"/>
    <w:rPr>
      <w:i/>
      <w:iCs/>
    </w:rPr>
  </w:style>
  <w:style w:type="paragraph" w:customStyle="1" w:styleId="Default">
    <w:name w:val="Default"/>
    <w:rsid w:val="0056606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rpodetexto">
    <w:name w:val="Body Text"/>
    <w:basedOn w:val="Normal"/>
    <w:link w:val="CorpodetextoChar"/>
    <w:uiPriority w:val="99"/>
    <w:semiHidden/>
    <w:unhideWhenUsed/>
    <w:rsid w:val="00566064"/>
    <w:pPr>
      <w:spacing w:after="120"/>
    </w:pPr>
  </w:style>
  <w:style w:type="character" w:customStyle="1" w:styleId="CorpodetextoChar">
    <w:name w:val="Corpo de texto Char"/>
    <w:basedOn w:val="Fontepargpadro"/>
    <w:link w:val="Corpodetexto"/>
    <w:uiPriority w:val="99"/>
    <w:semiHidden/>
    <w:rsid w:val="0056606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2657</Words>
  <Characters>14348</Characters>
  <Application>Microsoft Office Word</Application>
  <DocSecurity>0</DocSecurity>
  <Lines>119</Lines>
  <Paragraphs>33</Paragraphs>
  <ScaleCrop>false</ScaleCrop>
  <Company/>
  <LinksUpToDate>false</LinksUpToDate>
  <CharactersWithSpaces>16972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tr98403</dc:creator>
  <cp:lastModifiedBy>tr98403</cp:lastModifiedBy>
  <cp:revision>7</cp:revision>
  <dcterms:created xsi:type="dcterms:W3CDTF">2022-02-09T12:15:00Z</dcterms:created>
  <dcterms:modified xsi:type="dcterms:W3CDTF">2022-02-16T14:27:00Z</dcterms:modified>
</cp:coreProperties>
</file>