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64" w:rsidRDefault="000F4C64" w:rsidP="00C94EC7">
      <w:pPr>
        <w:pStyle w:val="TextosemFormatao"/>
        <w:rPr>
          <w:rFonts w:ascii="Courier New" w:hAnsi="Courier New" w:cs="Courier New"/>
        </w:rPr>
      </w:pPr>
    </w:p>
    <w:p w:rsidR="000F4C64" w:rsidRPr="00C94EC7" w:rsidRDefault="000F4C64" w:rsidP="000F4C64">
      <w:pPr>
        <w:pStyle w:val="Identificao"/>
      </w:pPr>
      <w:r w:rsidRPr="00C94EC7">
        <w:t xml:space="preserve">Numeração Única: 78490320104013300 </w:t>
      </w:r>
    </w:p>
    <w:p w:rsidR="000F4C64" w:rsidRPr="00C94EC7" w:rsidRDefault="000F4C64" w:rsidP="000F4C64">
      <w:pPr>
        <w:pStyle w:val="Identificao"/>
      </w:pPr>
      <w:r w:rsidRPr="00C94EC7">
        <w:t>APELAÇÃO CÍVEL  2010.33.00.003011-4/BA</w:t>
      </w:r>
    </w:p>
    <w:p w:rsidR="000F4C64" w:rsidRPr="00C94EC7" w:rsidRDefault="000F4C64" w:rsidP="000F4C64">
      <w:pPr>
        <w:pStyle w:val="Identificao"/>
      </w:pPr>
      <w:r w:rsidRPr="00C94EC7">
        <w:t>Processo na Origem: 78490320104013300</w:t>
      </w:r>
    </w:p>
    <w:p w:rsidR="000F4C64" w:rsidRDefault="000F4C64" w:rsidP="000F4C6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F4C64" w:rsidRPr="000F4C64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RELATOR(A)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JUIZ FEDERAL SAULO JOSÉ CASALI BAHIA</w:t>
            </w:r>
          </w:p>
        </w:tc>
      </w:tr>
      <w:tr w:rsidR="000F4C64" w:rsidRPr="00237AE6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APELANTE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MARIA ROSALIA DE JESUS SANTOS E OUTRO(A)</w:t>
            </w:r>
          </w:p>
        </w:tc>
      </w:tr>
      <w:tr w:rsidR="000F4C64" w:rsidRPr="00237AE6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ADVOGADO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BA00016391 - EDUARDO LIMA SODRE E OUTROS(AS)</w:t>
            </w:r>
          </w:p>
        </w:tc>
      </w:tr>
      <w:tr w:rsidR="000F4C64" w:rsidRPr="000F4C64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APELANTE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 xml:space="preserve">INSTITUTO NACIONAL DO SEGURO SOCIAL - INSS </w:t>
            </w:r>
          </w:p>
        </w:tc>
      </w:tr>
      <w:tr w:rsidR="000F4C64" w:rsidRPr="000F4C64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 xml:space="preserve">PROCURADORIA REGIONAL FEDERAL DA 1ª REGIÃO </w:t>
            </w:r>
          </w:p>
        </w:tc>
      </w:tr>
      <w:tr w:rsidR="000F4C64" w:rsidRPr="000F4C64" w:rsidTr="000F4C64">
        <w:tc>
          <w:tcPr>
            <w:tcW w:w="20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APELADO</w:t>
            </w:r>
          </w:p>
        </w:tc>
        <w:tc>
          <w:tcPr>
            <w:tcW w:w="3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>:</w:t>
            </w:r>
          </w:p>
        </w:tc>
        <w:tc>
          <w:tcPr>
            <w:tcW w:w="7600" w:type="dxa"/>
            <w:shd w:val="clear" w:color="auto" w:fill="auto"/>
          </w:tcPr>
          <w:p w:rsidR="000F4C64" w:rsidRPr="000F4C64" w:rsidRDefault="000F4C64" w:rsidP="000F4C64">
            <w:pPr>
              <w:pStyle w:val="Identificao"/>
            </w:pPr>
            <w:r w:rsidRPr="000F4C64">
              <w:t xml:space="preserve">OS MESMOS </w:t>
            </w:r>
          </w:p>
        </w:tc>
      </w:tr>
    </w:tbl>
    <w:p w:rsidR="000F4C64" w:rsidRDefault="000F4C64" w:rsidP="000F4C64">
      <w:pPr>
        <w:pStyle w:val="Identificao"/>
      </w:pPr>
    </w:p>
    <w:p w:rsidR="0015179D" w:rsidRDefault="0015179D" w:rsidP="000F4C64">
      <w:pPr>
        <w:pStyle w:val="Identificao"/>
      </w:pPr>
    </w:p>
    <w:p w:rsidR="006C5AFC" w:rsidRDefault="006C5AFC" w:rsidP="00BF1491">
      <w:pPr>
        <w:pStyle w:val="centralizar"/>
        <w:spacing w:before="0" w:after="0" w:line="360" w:lineRule="auto"/>
        <w:rPr>
          <w:rFonts w:cs="Arial"/>
          <w:szCs w:val="22"/>
        </w:rPr>
      </w:pPr>
    </w:p>
    <w:p w:rsidR="00BF1491" w:rsidRPr="00E40AA4" w:rsidRDefault="00BF1491" w:rsidP="00BF1491">
      <w:pPr>
        <w:pStyle w:val="centralizar"/>
        <w:spacing w:before="0" w:after="0" w:line="360" w:lineRule="auto"/>
        <w:rPr>
          <w:rFonts w:cs="Arial"/>
          <w:szCs w:val="22"/>
        </w:rPr>
      </w:pPr>
      <w:r w:rsidRPr="00E40AA4">
        <w:rPr>
          <w:rFonts w:cs="Arial"/>
          <w:szCs w:val="22"/>
        </w:rPr>
        <w:t>R E L A T Ó R I O</w:t>
      </w:r>
    </w:p>
    <w:p w:rsidR="00BF1491" w:rsidRPr="007D3800" w:rsidRDefault="00BF1491" w:rsidP="00BF1491">
      <w:pPr>
        <w:pStyle w:val="Pargrafo"/>
        <w:spacing w:before="0" w:after="0" w:line="360" w:lineRule="auto"/>
        <w:rPr>
          <w:szCs w:val="22"/>
        </w:rPr>
      </w:pPr>
    </w:p>
    <w:p w:rsidR="00BF1491" w:rsidRPr="006C5AFC" w:rsidRDefault="00BF1491" w:rsidP="006C5AFC">
      <w:pPr>
        <w:pStyle w:val="Pargrafo"/>
        <w:spacing w:before="0" w:after="0" w:line="360" w:lineRule="auto"/>
        <w:rPr>
          <w:rFonts w:cs="Arial"/>
          <w:b/>
          <w:szCs w:val="22"/>
        </w:rPr>
      </w:pPr>
      <w:r w:rsidRPr="006C5AFC">
        <w:rPr>
          <w:rFonts w:cs="Arial"/>
          <w:b/>
          <w:szCs w:val="22"/>
        </w:rPr>
        <w:t>O EXMO. SR. JUIZ FEDERAL SAULO CASALI BAHIA (RELATOR CONVOCADO):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Apelam MARIA ROSALIA JESUS DOS SANTOS E ESPÓLIO DE LUIZ ARAÚJO DOS SANTOS, de um lado, e o INSS, por outro lado, contra a sentença de fls. 505/510, que julgou parcialmente procedentes os embargos à execução intentados pelo INSS.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A sentença fixou o valor exequendo considerando os cálculos de fls. 476/486, por entender que a RMI foi calculada por estimativa (por não ter sido obtida a relação integral dos salários de contribuição integrantes do PBC da aposentadoria, não se podendo responsabilizar o INSS pela omissão ante a inconsistência do CNIS, preenchido primordialmente pelos empregadores), não havendo elementos materiais concretos que possibilitassem a fixação maior, após o cálculo pela contadoria judicial de fls. 163/164. E afastou a pretensão de capitalização de juros compostos sobre a dívida, por entender que o título judicial exequendo não a havia contemplado.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No apelo dos embargados, estes renovam as teses expostas nos agravos retidos de fls. 234/237 e 358/367, no sentido de que não caberia fixar a RMI em Cr$1.014,06, e sim de Cr$2.287,78 (tomando o parâmetro de auxílio-doença percebido), e nem se deixar de calcular os juros de mora de forma composta, por necessidade de observância do título executivo.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No apelo do INSS, a autarquia se bate pela aplicação da Lei 11.960/09.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Há contrarrazões por ambas as partes.</w:t>
      </w:r>
    </w:p>
    <w:p w:rsidR="006C5AFC" w:rsidRPr="00E30064" w:rsidRDefault="006C5AFC" w:rsidP="006C5AFC">
      <w:pPr>
        <w:spacing w:line="360" w:lineRule="auto"/>
        <w:ind w:firstLine="1418"/>
        <w:jc w:val="both"/>
        <w:rPr>
          <w:rFonts w:ascii="Arial" w:hAnsi="Arial" w:cs="Arial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É o relatório.</w:t>
      </w:r>
    </w:p>
    <w:p w:rsidR="006C5AFC" w:rsidRPr="00E30064" w:rsidRDefault="006C5AFC" w:rsidP="006C5AFC">
      <w:pPr>
        <w:ind w:firstLine="1418"/>
        <w:jc w:val="both"/>
        <w:rPr>
          <w:rFonts w:ascii="Arial" w:hAnsi="Arial" w:cs="Arial"/>
          <w:lang w:val="pt-BR"/>
        </w:rPr>
      </w:pPr>
    </w:p>
    <w:p w:rsidR="00BF1491" w:rsidRDefault="00BF1491" w:rsidP="00BF1491">
      <w:pPr>
        <w:pStyle w:val="centralizar"/>
        <w:spacing w:before="0" w:after="0" w:line="360" w:lineRule="auto"/>
        <w:rPr>
          <w:rFonts w:cs="Arial"/>
          <w:szCs w:val="22"/>
        </w:rPr>
      </w:pPr>
    </w:p>
    <w:p w:rsidR="00BF1491" w:rsidRDefault="00BF1491" w:rsidP="00BF1491">
      <w:pPr>
        <w:pStyle w:val="centralizar"/>
        <w:spacing w:before="0" w:after="0" w:line="360" w:lineRule="auto"/>
        <w:rPr>
          <w:rFonts w:cs="Arial"/>
          <w:szCs w:val="22"/>
        </w:rPr>
      </w:pPr>
    </w:p>
    <w:p w:rsidR="00BF1491" w:rsidRDefault="00BF1491" w:rsidP="00BF1491">
      <w:pPr>
        <w:pStyle w:val="centralizar"/>
        <w:spacing w:before="0" w:after="0" w:line="360" w:lineRule="auto"/>
        <w:rPr>
          <w:rFonts w:cs="Arial"/>
          <w:szCs w:val="22"/>
        </w:rPr>
      </w:pPr>
    </w:p>
    <w:p w:rsidR="00BF1491" w:rsidRDefault="00BF1491" w:rsidP="00BF1491">
      <w:pPr>
        <w:pStyle w:val="centralizar"/>
        <w:spacing w:before="0" w:after="0" w:line="360" w:lineRule="auto"/>
        <w:rPr>
          <w:rFonts w:cs="Arial"/>
          <w:szCs w:val="22"/>
        </w:rPr>
      </w:pPr>
    </w:p>
    <w:p w:rsidR="00BF1491" w:rsidRPr="007D3800" w:rsidRDefault="00BF1491" w:rsidP="006C5AFC">
      <w:pPr>
        <w:pStyle w:val="centralizar"/>
        <w:spacing w:before="0" w:after="0" w:line="360" w:lineRule="auto"/>
        <w:rPr>
          <w:rFonts w:cs="Arial"/>
          <w:szCs w:val="22"/>
        </w:rPr>
      </w:pPr>
      <w:r w:rsidRPr="007D3800">
        <w:rPr>
          <w:rFonts w:cs="Arial"/>
          <w:szCs w:val="22"/>
        </w:rPr>
        <w:t>V O T O</w:t>
      </w:r>
    </w:p>
    <w:p w:rsidR="00BF1491" w:rsidRPr="007D3800" w:rsidRDefault="00BF1491" w:rsidP="00BF1491">
      <w:pPr>
        <w:pStyle w:val="Pargrafo"/>
        <w:rPr>
          <w:szCs w:val="22"/>
        </w:rPr>
      </w:pPr>
    </w:p>
    <w:p w:rsidR="00BF1491" w:rsidRPr="006C5AFC" w:rsidRDefault="00BF1491" w:rsidP="006C5AFC">
      <w:pPr>
        <w:pStyle w:val="Pargrafo"/>
        <w:spacing w:before="0" w:after="0" w:line="360" w:lineRule="auto"/>
        <w:rPr>
          <w:rFonts w:cs="Arial"/>
          <w:b/>
          <w:szCs w:val="22"/>
        </w:rPr>
      </w:pPr>
      <w:r w:rsidRPr="006C5AFC">
        <w:rPr>
          <w:rFonts w:cs="Arial"/>
          <w:b/>
          <w:szCs w:val="22"/>
        </w:rPr>
        <w:t>O EXMO. SR. JUIZ FEDERAL SAULO CASALI BAHIA (RELATOR CONVOCADO):</w:t>
      </w:r>
    </w:p>
    <w:p w:rsidR="006C5AFC" w:rsidRPr="006C5AFC" w:rsidRDefault="006C5AFC" w:rsidP="006C5AFC">
      <w:pPr>
        <w:pStyle w:val="Pargrafo"/>
        <w:spacing w:before="0" w:after="0" w:line="360" w:lineRule="auto"/>
        <w:rPr>
          <w:rFonts w:cs="Arial"/>
          <w:szCs w:val="22"/>
        </w:rPr>
      </w:pPr>
      <w:r w:rsidRPr="006C5AFC">
        <w:rPr>
          <w:rFonts w:cs="Arial"/>
          <w:szCs w:val="22"/>
        </w:rPr>
        <w:t xml:space="preserve">Há agravos retidos interpostos pelos embargados onde demonstraram </w:t>
      </w:r>
      <w:proofErr w:type="spellStart"/>
      <w:r w:rsidRPr="006C5AFC">
        <w:rPr>
          <w:rFonts w:cs="Arial"/>
          <w:szCs w:val="22"/>
        </w:rPr>
        <w:t>irresignação</w:t>
      </w:r>
      <w:proofErr w:type="spellEnd"/>
      <w:r w:rsidRPr="006C5AFC">
        <w:rPr>
          <w:rFonts w:cs="Arial"/>
          <w:szCs w:val="22"/>
        </w:rPr>
        <w:t xml:space="preserve"> acerca do modo de cálculo do valor exequendo. A mesma </w:t>
      </w:r>
      <w:proofErr w:type="spellStart"/>
      <w:r w:rsidRPr="006C5AFC">
        <w:rPr>
          <w:rFonts w:cs="Arial"/>
          <w:szCs w:val="22"/>
        </w:rPr>
        <w:t>irresignação</w:t>
      </w:r>
      <w:proofErr w:type="spellEnd"/>
      <w:r w:rsidRPr="006C5AFC">
        <w:rPr>
          <w:rFonts w:cs="Arial"/>
          <w:szCs w:val="22"/>
        </w:rPr>
        <w:t xml:space="preserve"> é renovada no apelo dos embargados.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 xml:space="preserve">É certo que inexiste nos autos a relação integral dos salários de contribuição integrantes do PBC da aposentadoria, e que não se pode responsabilizar o INSS pela inconsistência do CNIS, preenchido primordialmente pelos empregadores. Todavia, a estimativa da RMI em Cr$1.014,06 não pode ser aceita, na medida em que o art. 21, I, do Decreto 89.312/84 – vigente à ocasião - determinava que fosse levada em conta a média dos doze últimos salários de contribuição apurados em período máximo de 18 meses. Os cálculos, como aduziram os apelantes, </w:t>
      </w:r>
      <w:proofErr w:type="spellStart"/>
      <w:r w:rsidRPr="006C5AFC">
        <w:rPr>
          <w:rFonts w:ascii="Arial" w:hAnsi="Arial" w:cs="Arial"/>
          <w:sz w:val="22"/>
          <w:szCs w:val="22"/>
          <w:lang w:val="pt-BR"/>
        </w:rPr>
        <w:t>inexplicavelmete</w:t>
      </w:r>
      <w:proofErr w:type="spellEnd"/>
      <w:r w:rsidRPr="006C5AFC">
        <w:rPr>
          <w:rFonts w:ascii="Arial" w:hAnsi="Arial" w:cs="Arial"/>
          <w:sz w:val="22"/>
          <w:szCs w:val="22"/>
          <w:lang w:val="pt-BR"/>
        </w:rPr>
        <w:t xml:space="preserve"> significaram a média não de doze salários em um período de um ano, mas dos salários de setembro e outubro/85 e junho a agosto/86 no mesmo período. A RMI, assim, como pretendem os embargados, deveria ser de fato calculada em Cr$2.287,78, por estimativa em relação aos meses faltantes, igualando-se em relação aos salários conhecidos, nos termos do art. 475-B do CPC/73, então vigente.</w:t>
      </w:r>
    </w:p>
    <w:p w:rsidR="006C5AFC" w:rsidRPr="006C5AFC" w:rsidRDefault="006C5AFC" w:rsidP="006C5AF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  <w:lang w:val="pt-BR"/>
        </w:rPr>
      </w:pPr>
      <w:r w:rsidRPr="006C5AFC">
        <w:rPr>
          <w:rFonts w:ascii="Arial" w:hAnsi="Arial" w:cs="Arial"/>
          <w:sz w:val="22"/>
          <w:szCs w:val="22"/>
          <w:lang w:val="pt-BR"/>
        </w:rPr>
        <w:t>Com relação a juros compostos, cumpre reler o acórdão exequendo. Nele é consignado, no item 3: “Juros moratórios, à taxa mensal de 1% (um por cento), conforme orientação jurisprudencial da 1</w:t>
      </w:r>
      <w:r w:rsidRPr="006C5AFC">
        <w:rPr>
          <w:rFonts w:ascii="Arial" w:hAnsi="Arial" w:cs="Arial"/>
          <w:sz w:val="22"/>
          <w:szCs w:val="22"/>
          <w:vertAlign w:val="superscript"/>
          <w:lang w:val="pt-BR"/>
        </w:rPr>
        <w:t>a</w:t>
      </w:r>
      <w:r w:rsidRPr="006C5AFC">
        <w:rPr>
          <w:rFonts w:ascii="Arial" w:hAnsi="Arial" w:cs="Arial"/>
          <w:sz w:val="22"/>
          <w:szCs w:val="22"/>
          <w:lang w:val="pt-BR"/>
        </w:rPr>
        <w:t xml:space="preserve"> Seção da Corte a propósito, na linha do entendimento do </w:t>
      </w:r>
      <w:proofErr w:type="spellStart"/>
      <w:r w:rsidRPr="006C5AFC">
        <w:rPr>
          <w:rFonts w:ascii="Arial" w:hAnsi="Arial" w:cs="Arial"/>
          <w:sz w:val="22"/>
          <w:szCs w:val="22"/>
          <w:lang w:val="pt-BR"/>
        </w:rPr>
        <w:t>eg</w:t>
      </w:r>
      <w:proofErr w:type="spellEnd"/>
      <w:r w:rsidRPr="006C5AFC">
        <w:rPr>
          <w:rFonts w:ascii="Arial" w:hAnsi="Arial" w:cs="Arial"/>
          <w:sz w:val="22"/>
          <w:szCs w:val="22"/>
          <w:lang w:val="pt-BR"/>
        </w:rPr>
        <w:t>. Superior Tribunal de Justiça, fluindo os mesmos, porém, a contar das datas dos respectivos vencimentos, quanto às prestações vencidas após a citação no processo cautelar, porque só então se verifica, em relação a elas, o inadimplemento da obrigação”.</w:t>
      </w:r>
    </w:p>
    <w:p w:rsidR="006C5AFC" w:rsidRPr="006C5AFC" w:rsidRDefault="006C5AFC" w:rsidP="006C5AFC">
      <w:pPr>
        <w:pStyle w:val="Pargrafo2"/>
        <w:spacing w:before="0" w:after="0" w:line="360" w:lineRule="auto"/>
        <w:rPr>
          <w:rFonts w:cs="Arial"/>
          <w:szCs w:val="22"/>
        </w:rPr>
      </w:pPr>
      <w:r w:rsidRPr="006C5AFC">
        <w:rPr>
          <w:rFonts w:cs="Arial"/>
          <w:szCs w:val="22"/>
        </w:rPr>
        <w:t xml:space="preserve">O voto invoca o precedente do TRF1 na </w:t>
      </w:r>
      <w:r w:rsidRPr="006C5AFC">
        <w:rPr>
          <w:rFonts w:cs="Arial"/>
          <w:bCs/>
          <w:szCs w:val="22"/>
        </w:rPr>
        <w:t>AR nº 1999.01.00.099582-9/DF</w:t>
      </w:r>
      <w:r w:rsidRPr="006C5AFC">
        <w:rPr>
          <w:rFonts w:cs="Arial"/>
          <w:szCs w:val="22"/>
        </w:rPr>
        <w:t>, e este por sua vez invoca o precedente do STJ no RESP 314181/AL: “Os juros são devidos à razão de 1% ao mês, a partir da citação, em face da natureza alimentar, conforme orientação jurisprudencial do egrégio STJ (</w:t>
      </w:r>
      <w:proofErr w:type="spellStart"/>
      <w:r w:rsidRPr="006C5AFC">
        <w:rPr>
          <w:rFonts w:cs="Arial"/>
          <w:szCs w:val="22"/>
        </w:rPr>
        <w:t>REsp</w:t>
      </w:r>
      <w:proofErr w:type="spellEnd"/>
      <w:r w:rsidRPr="006C5AFC">
        <w:rPr>
          <w:rFonts w:cs="Arial"/>
          <w:szCs w:val="22"/>
        </w:rPr>
        <w:t xml:space="preserve"> 314181/AL, Quinta Turma, Rel. Min. Félix Fischer, </w:t>
      </w:r>
      <w:r w:rsidRPr="006C5AFC">
        <w:rPr>
          <w:rFonts w:cs="Arial"/>
          <w:b/>
          <w:bCs/>
          <w:szCs w:val="22"/>
        </w:rPr>
        <w:t xml:space="preserve">in </w:t>
      </w:r>
      <w:r w:rsidRPr="006C5AFC">
        <w:rPr>
          <w:rFonts w:cs="Arial"/>
          <w:szCs w:val="22"/>
        </w:rPr>
        <w:t xml:space="preserve"> DJ de 05.11.2001, pág. 133, unânime, AGRESP 289543/RS, Quinta Turma, Rel. Min. Jorge </w:t>
      </w:r>
      <w:proofErr w:type="spellStart"/>
      <w:r w:rsidRPr="006C5AFC">
        <w:rPr>
          <w:rFonts w:cs="Arial"/>
          <w:szCs w:val="22"/>
        </w:rPr>
        <w:t>Scartezzini</w:t>
      </w:r>
      <w:proofErr w:type="spellEnd"/>
      <w:r w:rsidRPr="006C5AFC">
        <w:rPr>
          <w:rFonts w:cs="Arial"/>
          <w:szCs w:val="22"/>
        </w:rPr>
        <w:t xml:space="preserve">, </w:t>
      </w:r>
      <w:r w:rsidRPr="006C5AFC">
        <w:rPr>
          <w:rFonts w:cs="Arial"/>
          <w:b/>
          <w:bCs/>
          <w:szCs w:val="22"/>
        </w:rPr>
        <w:t>in</w:t>
      </w:r>
      <w:r w:rsidRPr="006C5AFC">
        <w:rPr>
          <w:rFonts w:cs="Arial"/>
          <w:szCs w:val="22"/>
        </w:rPr>
        <w:t xml:space="preserve"> DJ 19/11/2001, pág. 307, unânime).”</w:t>
      </w:r>
    </w:p>
    <w:p w:rsidR="006C5AFC" w:rsidRPr="006C5AFC" w:rsidRDefault="006C5AFC" w:rsidP="006C5AFC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C5AFC">
        <w:rPr>
          <w:rFonts w:ascii="Arial" w:hAnsi="Arial" w:cs="Arial"/>
          <w:sz w:val="22"/>
          <w:szCs w:val="22"/>
        </w:rPr>
        <w:t xml:space="preserve">No RESP 314181/AL consta a aplicação do entendimento consubstanciado na Súmula 204 do STJ ("Os juros de mora nas ações relativas a benefícios previdenciários incidem a partir da citação válida."), e, quanto ao percentual dos juros moratórios nas dívidas de caráter alimentar, foi assinalada que existia divergência entre as Turmas do Tribunal, havendo duas </w:t>
      </w:r>
      <w:r w:rsidRPr="006C5AFC">
        <w:rPr>
          <w:rFonts w:ascii="Arial" w:hAnsi="Arial" w:cs="Arial"/>
          <w:sz w:val="22"/>
          <w:szCs w:val="22"/>
        </w:rPr>
        <w:lastRenderedPageBreak/>
        <w:t xml:space="preserve">correntes: a primeira que defendia o percentual de 0,5% ao mês; e a segunda, defendendo o percentual de 1% ao mês. </w:t>
      </w:r>
    </w:p>
    <w:p w:rsidR="006C5AFC" w:rsidRPr="006C5AFC" w:rsidRDefault="006C5AFC" w:rsidP="006C5AFC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C5AFC">
        <w:rPr>
          <w:rFonts w:ascii="Arial" w:hAnsi="Arial" w:cs="Arial"/>
          <w:sz w:val="22"/>
          <w:szCs w:val="22"/>
        </w:rPr>
        <w:t>Ou seja, nada é afirmado quanto à capitalização de juros, ou adoção de juros compostos, pois apenas se definiu serem os juros calculados à base de 1% ao mês e o MCJF não recomenda a composição desejada pelos embargados.</w:t>
      </w:r>
    </w:p>
    <w:p w:rsidR="006C5AFC" w:rsidRPr="006C5AFC" w:rsidRDefault="006C5AFC" w:rsidP="006C5AFC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C5AFC">
        <w:rPr>
          <w:rFonts w:ascii="Arial" w:hAnsi="Arial" w:cs="Arial"/>
          <w:sz w:val="22"/>
          <w:szCs w:val="22"/>
        </w:rPr>
        <w:t xml:space="preserve">Quanto ao recurso do INSS, deve-se ter em conta que a matéria concernente aos consectários legais é de ordem pública e, portanto, aferível de ofício pelo julgador. Nesse sentido há de se memorar pacífico entendimento do STJ de que a correção monetária e os juros de </w:t>
      </w:r>
      <w:r w:rsidRPr="006C5AFC">
        <w:rPr>
          <w:rFonts w:ascii="Arial" w:hAnsi="Arial" w:cs="Arial"/>
          <w:bCs/>
          <w:sz w:val="22"/>
          <w:szCs w:val="22"/>
        </w:rPr>
        <w:t>mora,</w:t>
      </w:r>
      <w:r w:rsidRPr="006C5AFC">
        <w:rPr>
          <w:rFonts w:ascii="Arial" w:hAnsi="Arial" w:cs="Arial"/>
          <w:sz w:val="22"/>
          <w:szCs w:val="22"/>
        </w:rPr>
        <w:t xml:space="preserve"> por constituírem matéria de ordem pública, aplicar, alterar ou modificar seu termo inicial, de ofício, não configuram julgamento </w:t>
      </w:r>
      <w:r w:rsidRPr="006C5AFC">
        <w:rPr>
          <w:rFonts w:ascii="Arial" w:hAnsi="Arial" w:cs="Arial"/>
          <w:i/>
          <w:sz w:val="22"/>
          <w:szCs w:val="22"/>
        </w:rPr>
        <w:t>extra petita</w:t>
      </w:r>
      <w:r w:rsidRPr="006C5AFC">
        <w:rPr>
          <w:rFonts w:ascii="Arial" w:hAnsi="Arial" w:cs="Arial"/>
          <w:sz w:val="22"/>
          <w:szCs w:val="22"/>
        </w:rPr>
        <w:t xml:space="preserve">, tampouco se incorre no princípio da </w:t>
      </w:r>
      <w:proofErr w:type="spellStart"/>
      <w:r w:rsidRPr="006C5AFC">
        <w:rPr>
          <w:rFonts w:ascii="Arial" w:hAnsi="Arial" w:cs="Arial"/>
          <w:i/>
          <w:sz w:val="22"/>
          <w:szCs w:val="22"/>
        </w:rPr>
        <w:t>non</w:t>
      </w:r>
      <w:proofErr w:type="spellEnd"/>
      <w:r w:rsidRPr="006C5AFC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6C5AFC">
        <w:rPr>
          <w:rFonts w:ascii="Arial" w:hAnsi="Arial" w:cs="Arial"/>
          <w:i/>
          <w:sz w:val="22"/>
          <w:szCs w:val="22"/>
        </w:rPr>
        <w:t>reformatio</w:t>
      </w:r>
      <w:proofErr w:type="spellEnd"/>
      <w:r w:rsidRPr="006C5AFC">
        <w:rPr>
          <w:rFonts w:ascii="Arial" w:hAnsi="Arial" w:cs="Arial"/>
          <w:i/>
          <w:sz w:val="22"/>
          <w:szCs w:val="22"/>
        </w:rPr>
        <w:t xml:space="preserve"> in </w:t>
      </w:r>
      <w:proofErr w:type="spellStart"/>
      <w:r w:rsidRPr="006C5AFC">
        <w:rPr>
          <w:rFonts w:ascii="Arial" w:hAnsi="Arial" w:cs="Arial"/>
          <w:i/>
          <w:sz w:val="22"/>
          <w:szCs w:val="22"/>
        </w:rPr>
        <w:t>pejus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(STJ, </w:t>
      </w:r>
      <w:proofErr w:type="spellStart"/>
      <w:r w:rsidRPr="006C5AFC">
        <w:rPr>
          <w:rFonts w:ascii="Arial" w:hAnsi="Arial" w:cs="Arial"/>
          <w:sz w:val="22"/>
          <w:szCs w:val="22"/>
        </w:rPr>
        <w:t>AgRg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REsp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1.440.244/RS, Rel. Ministro </w:t>
      </w:r>
      <w:proofErr w:type="spellStart"/>
      <w:r w:rsidRPr="006C5AFC">
        <w:rPr>
          <w:rFonts w:ascii="Arial" w:hAnsi="Arial" w:cs="Arial"/>
          <w:sz w:val="22"/>
          <w:szCs w:val="22"/>
        </w:rPr>
        <w:t>Herman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Benjamin, Segunda Turma, </w:t>
      </w:r>
      <w:proofErr w:type="spellStart"/>
      <w:r w:rsidRPr="006C5AFC">
        <w:rPr>
          <w:rFonts w:ascii="Arial" w:hAnsi="Arial" w:cs="Arial"/>
          <w:sz w:val="22"/>
          <w:szCs w:val="22"/>
        </w:rPr>
        <w:t>DJe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de 10/10/2014; STJ, </w:t>
      </w:r>
      <w:proofErr w:type="spellStart"/>
      <w:r w:rsidRPr="006C5AFC">
        <w:rPr>
          <w:rFonts w:ascii="Arial" w:hAnsi="Arial" w:cs="Arial"/>
          <w:sz w:val="22"/>
          <w:szCs w:val="22"/>
        </w:rPr>
        <w:t>AgRg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REsp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1.451.962/RS, Rel. Ministro Mauro Campbell Marques, Segunda Turma, </w:t>
      </w:r>
      <w:proofErr w:type="spellStart"/>
      <w:r w:rsidRPr="006C5AFC">
        <w:rPr>
          <w:rFonts w:ascii="Arial" w:hAnsi="Arial" w:cs="Arial"/>
          <w:sz w:val="22"/>
          <w:szCs w:val="22"/>
        </w:rPr>
        <w:t>DJe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de 23/09/2014; STJ, </w:t>
      </w:r>
      <w:proofErr w:type="spellStart"/>
      <w:r w:rsidRPr="006C5AFC">
        <w:rPr>
          <w:rFonts w:ascii="Arial" w:hAnsi="Arial" w:cs="Arial"/>
          <w:sz w:val="22"/>
          <w:szCs w:val="22"/>
        </w:rPr>
        <w:t>AgRg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AgRg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REsp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1.424.522/PR, Rel. Ministro Humberto Martins, Segunda Turma, </w:t>
      </w:r>
      <w:proofErr w:type="spellStart"/>
      <w:r w:rsidRPr="006C5AFC">
        <w:rPr>
          <w:rFonts w:ascii="Arial" w:hAnsi="Arial" w:cs="Arial"/>
          <w:sz w:val="22"/>
          <w:szCs w:val="22"/>
        </w:rPr>
        <w:t>DJe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de 28/08/2014). E "a 1ª Seção do STJ, no julgamento do </w:t>
      </w:r>
      <w:proofErr w:type="spellStart"/>
      <w:r w:rsidRPr="006C5AFC">
        <w:rPr>
          <w:rFonts w:ascii="Arial" w:hAnsi="Arial" w:cs="Arial"/>
          <w:sz w:val="22"/>
          <w:szCs w:val="22"/>
        </w:rPr>
        <w:t>REsp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1.112.746/DF, afirmou que os juros de </w:t>
      </w:r>
      <w:r w:rsidRPr="006C5AFC">
        <w:rPr>
          <w:rFonts w:ascii="Arial" w:hAnsi="Arial" w:cs="Arial"/>
          <w:bCs/>
          <w:sz w:val="22"/>
          <w:szCs w:val="22"/>
        </w:rPr>
        <w:t>mora</w:t>
      </w:r>
      <w:r w:rsidRPr="006C5AFC">
        <w:rPr>
          <w:rFonts w:ascii="Arial" w:hAnsi="Arial" w:cs="Arial"/>
          <w:sz w:val="22"/>
          <w:szCs w:val="22"/>
        </w:rPr>
        <w:t xml:space="preserve"> e a correção monetária são obrigações de trato sucessivo, que se renovam mês a mês, devendo, portanto, ser aplicada no mês de regência a legislação vigente. Por essa razão, fixou-se o entendimento de que a lei nova superveniente que altera o regime dos juros moratórios deve ser aplicada imediatamente a todos os processos, abarcando inclusive aqueles em que já houve o trânsito em julgado e estejam em fase de </w:t>
      </w:r>
      <w:r w:rsidRPr="006C5AFC">
        <w:rPr>
          <w:rFonts w:ascii="Arial" w:hAnsi="Arial" w:cs="Arial"/>
          <w:bCs/>
          <w:sz w:val="22"/>
          <w:szCs w:val="22"/>
        </w:rPr>
        <w:t>execução.</w:t>
      </w:r>
      <w:r w:rsidRPr="006C5AFC">
        <w:rPr>
          <w:rFonts w:ascii="Arial" w:hAnsi="Arial" w:cs="Arial"/>
          <w:sz w:val="22"/>
          <w:szCs w:val="22"/>
        </w:rPr>
        <w:t xml:space="preserve"> Não há, pois, nesses casos, que falar em violação da </w:t>
      </w:r>
      <w:r w:rsidRPr="006C5AFC">
        <w:rPr>
          <w:rFonts w:ascii="Arial" w:hAnsi="Arial" w:cs="Arial"/>
          <w:bCs/>
          <w:sz w:val="22"/>
          <w:szCs w:val="22"/>
        </w:rPr>
        <w:t>coisa julgada</w:t>
      </w:r>
      <w:r w:rsidRPr="006C5AFC">
        <w:rPr>
          <w:rFonts w:ascii="Arial" w:hAnsi="Arial" w:cs="Arial"/>
          <w:sz w:val="22"/>
          <w:szCs w:val="22"/>
        </w:rPr>
        <w:t>" (</w:t>
      </w:r>
      <w:proofErr w:type="spellStart"/>
      <w:r w:rsidRPr="006C5AFC">
        <w:rPr>
          <w:rFonts w:ascii="Arial" w:hAnsi="Arial" w:cs="Arial"/>
          <w:sz w:val="22"/>
          <w:szCs w:val="22"/>
        </w:rPr>
        <w:t>EDcl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AgRg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no </w:t>
      </w:r>
      <w:proofErr w:type="spellStart"/>
      <w:r w:rsidRPr="006C5AFC">
        <w:rPr>
          <w:rFonts w:ascii="Arial" w:hAnsi="Arial" w:cs="Arial"/>
          <w:sz w:val="22"/>
          <w:szCs w:val="22"/>
        </w:rPr>
        <w:t>REsp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1.210.516/RS, Rel. Ministro NAPOLEÃO NUNES MAIA FILHO, PRIMEIRA TURMA, julgado em 15/09/2015, </w:t>
      </w:r>
      <w:proofErr w:type="spellStart"/>
      <w:r w:rsidRPr="006C5AFC">
        <w:rPr>
          <w:rFonts w:ascii="Arial" w:hAnsi="Arial" w:cs="Arial"/>
          <w:sz w:val="22"/>
          <w:szCs w:val="22"/>
        </w:rPr>
        <w:t>DJe</w:t>
      </w:r>
      <w:proofErr w:type="spellEnd"/>
      <w:r w:rsidRPr="006C5AFC">
        <w:rPr>
          <w:rFonts w:ascii="Arial" w:hAnsi="Arial" w:cs="Arial"/>
          <w:sz w:val="22"/>
          <w:szCs w:val="22"/>
        </w:rPr>
        <w:t xml:space="preserve"> 25/09/2015).</w:t>
      </w:r>
    </w:p>
    <w:p w:rsidR="006C5AFC" w:rsidRPr="006C5AFC" w:rsidRDefault="006C5AFC" w:rsidP="006C5AFC">
      <w:pPr>
        <w:pStyle w:val="NormalWeb"/>
        <w:spacing w:before="0" w:beforeAutospacing="0" w:after="0" w:afterAutospacing="0"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6C5AFC">
        <w:rPr>
          <w:rFonts w:ascii="Arial" w:hAnsi="Arial" w:cs="Arial"/>
          <w:sz w:val="22"/>
          <w:szCs w:val="22"/>
        </w:rPr>
        <w:t>Assim, quanto à correção monetária e juros de mora, cabe a aplicação do Manual de Cálculos da Justiça Federal, com aplicação dos juros de mora desde a citação, em relação às parcelas anteriores à mesma, ou desde o vencimento de cada parcela, se posteriores (vide tema 810 da repercussão geral, STF, RE 870.947/SE; e tema 905, STJ, RESP 1.495.146-MG).</w:t>
      </w:r>
    </w:p>
    <w:p w:rsidR="006C5AFC" w:rsidRPr="006C5AFC" w:rsidRDefault="006C5AFC" w:rsidP="006C5AFC">
      <w:pPr>
        <w:pStyle w:val="Pargrafo2"/>
        <w:spacing w:before="0" w:after="0" w:line="360" w:lineRule="auto"/>
        <w:rPr>
          <w:rFonts w:cs="Arial"/>
          <w:szCs w:val="22"/>
        </w:rPr>
      </w:pPr>
      <w:bookmarkStart w:id="0" w:name="_GoBack"/>
      <w:bookmarkEnd w:id="0"/>
      <w:r w:rsidRPr="006C5AFC">
        <w:rPr>
          <w:rFonts w:cs="Arial"/>
          <w:szCs w:val="22"/>
        </w:rPr>
        <w:t>Deste modo, forçoso é dar parcial provimento aos apelos, nos termos acima, ficando prejudicados os agravos retidos de fls. 234/237 e 358/367.</w:t>
      </w:r>
    </w:p>
    <w:p w:rsidR="006C5AFC" w:rsidRPr="006C5AFC" w:rsidRDefault="006C5AFC" w:rsidP="006C5AFC">
      <w:pPr>
        <w:pStyle w:val="Pargrafo2"/>
        <w:spacing w:before="0" w:after="0" w:line="360" w:lineRule="auto"/>
        <w:rPr>
          <w:rFonts w:cs="Arial"/>
          <w:b/>
          <w:bCs/>
          <w:szCs w:val="22"/>
        </w:rPr>
      </w:pPr>
      <w:r w:rsidRPr="006C5AFC">
        <w:rPr>
          <w:rFonts w:cs="Arial"/>
          <w:szCs w:val="22"/>
        </w:rPr>
        <w:t>É o voto.</w:t>
      </w:r>
    </w:p>
    <w:p w:rsidR="006C5AFC" w:rsidRPr="006C5AFC" w:rsidRDefault="006C5AFC" w:rsidP="006C5AFC">
      <w:pPr>
        <w:pStyle w:val="Pargrafo"/>
        <w:spacing w:before="0" w:after="0" w:line="360" w:lineRule="auto"/>
        <w:rPr>
          <w:rFonts w:cs="Arial"/>
          <w:b/>
          <w:szCs w:val="22"/>
        </w:rPr>
      </w:pPr>
    </w:p>
    <w:sectPr w:rsidR="006C5AFC" w:rsidRPr="006C5AFC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EDE" w:rsidRDefault="00746EDE">
      <w:r>
        <w:separator/>
      </w:r>
    </w:p>
  </w:endnote>
  <w:endnote w:type="continuationSeparator" w:id="0">
    <w:p w:rsidR="00746EDE" w:rsidRDefault="00746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A33496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A33496">
      <w:rPr>
        <w:rFonts w:ascii="Arial" w:hAnsi="Arial"/>
        <w:sz w:val="10"/>
      </w:rPr>
      <w:fldChar w:fldCharType="separate"/>
    </w:r>
    <w:r w:rsidR="00237AE6">
      <w:rPr>
        <w:rFonts w:ascii="Arial" w:hAnsi="Arial"/>
        <w:noProof/>
        <w:sz w:val="10"/>
      </w:rPr>
      <w:t>K:\CRP1-BA\GAB44\DR. SAULO\VOTOS\Sessões_2018\Sessão 23.03.2018\APELAÇÕES\DESTAQUES\7849-03.2010.4.01.3300 (2010.33.00.003011-4)_REL VOTO_vista DR. Cristiano.docx</w:t>
    </w:r>
    <w:r w:rsidR="00A33496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A33496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A33496">
      <w:rPr>
        <w:rFonts w:ascii="Arial" w:hAnsi="Arial"/>
        <w:sz w:val="13"/>
      </w:rPr>
      <w:fldChar w:fldCharType="separate"/>
    </w:r>
    <w:r w:rsidR="00237AE6">
      <w:rPr>
        <w:rFonts w:ascii="Arial" w:hAnsi="Arial"/>
        <w:noProof/>
        <w:sz w:val="13"/>
      </w:rPr>
      <w:t>K:\CRP1-BA\GAB44\DR. SAULO\VOTOS\Sessões_2018\Sessão 23.03.2018\APELAÇÕES\DESTAQUES\7849-03.2010.4.01.3300 (2010.33.00.003011-4)_REL VOTO_vista DR. Cristiano.docx</w:t>
    </w:r>
    <w:r w:rsidR="00A33496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A33496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A33496">
      <w:rPr>
        <w:rFonts w:ascii="Arial" w:hAnsi="Arial"/>
        <w:sz w:val="13"/>
      </w:rPr>
      <w:fldChar w:fldCharType="separate"/>
    </w:r>
    <w:r w:rsidR="00237AE6">
      <w:rPr>
        <w:rFonts w:ascii="Arial" w:hAnsi="Arial"/>
        <w:noProof/>
        <w:sz w:val="13"/>
      </w:rPr>
      <w:t>TR300321</w:t>
    </w:r>
    <w:r w:rsidR="00A33496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EDE" w:rsidRDefault="00746EDE">
      <w:r>
        <w:separator/>
      </w:r>
    </w:p>
  </w:footnote>
  <w:footnote w:type="continuationSeparator" w:id="0">
    <w:p w:rsidR="00746EDE" w:rsidRDefault="00746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A33496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A33496">
      <w:rPr>
        <w:rFonts w:ascii="Arial" w:hAnsi="Arial" w:cs="Arial"/>
        <w:bCs/>
        <w:sz w:val="16"/>
      </w:rPr>
      <w:fldChar w:fldCharType="separate"/>
    </w:r>
    <w:r w:rsidR="00237AE6">
      <w:rPr>
        <w:rFonts w:ascii="Arial" w:hAnsi="Arial" w:cs="Arial"/>
        <w:bCs/>
        <w:noProof/>
        <w:sz w:val="16"/>
      </w:rPr>
      <w:t>3</w:t>
    </w:r>
    <w:r w:rsidR="00A33496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A33496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A33496">
      <w:rPr>
        <w:rFonts w:ascii="Arial" w:hAnsi="Arial" w:cs="Arial"/>
        <w:bCs/>
        <w:sz w:val="16"/>
      </w:rPr>
      <w:fldChar w:fldCharType="separate"/>
    </w:r>
    <w:r w:rsidR="00237AE6">
      <w:rPr>
        <w:rFonts w:ascii="Arial" w:hAnsi="Arial" w:cs="Arial"/>
        <w:bCs/>
        <w:noProof/>
        <w:sz w:val="16"/>
      </w:rPr>
      <w:t>3</w:t>
    </w:r>
    <w:r w:rsidR="00A33496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64" w:rsidRPr="000F4C64" w:rsidRDefault="000F4C64" w:rsidP="000F4C64">
    <w:pPr>
      <w:jc w:val="right"/>
      <w:rPr>
        <w:rFonts w:ascii="Interleaved 2of5" w:hAnsi="Interleaved 2of5"/>
        <w:sz w:val="48"/>
      </w:rPr>
    </w:pPr>
    <w:r w:rsidRPr="000F4C64">
      <w:rPr>
        <w:rFonts w:ascii="Interleaved 2of5" w:hAnsi="Interleaved 2of5"/>
        <w:sz w:val="48"/>
      </w:rPr>
      <w:t>(213N031&gt;)</w:t>
    </w:r>
  </w:p>
  <w:p w:rsidR="000F4C64" w:rsidRDefault="000F4C64" w:rsidP="000F4C64">
    <w:pPr>
      <w:spacing w:before="120"/>
      <w:rPr>
        <w:rFonts w:ascii="Arial" w:hAnsi="Arial"/>
        <w:sz w:val="16"/>
      </w:rPr>
    </w:pPr>
  </w:p>
  <w:p w:rsidR="004554A7" w:rsidRDefault="000F4C6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val="pt-BR"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AD0B6C"/>
    <w:multiLevelType w:val="hybridMultilevel"/>
    <w:tmpl w:val="75C0D1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EDE"/>
    <w:rsid w:val="00006EDE"/>
    <w:rsid w:val="00074608"/>
    <w:rsid w:val="000F4C64"/>
    <w:rsid w:val="0015179D"/>
    <w:rsid w:val="00191A8C"/>
    <w:rsid w:val="002331F7"/>
    <w:rsid w:val="00237AE6"/>
    <w:rsid w:val="00413610"/>
    <w:rsid w:val="00416643"/>
    <w:rsid w:val="004269A8"/>
    <w:rsid w:val="004554A7"/>
    <w:rsid w:val="00462716"/>
    <w:rsid w:val="00471CDF"/>
    <w:rsid w:val="004C17AC"/>
    <w:rsid w:val="005801DA"/>
    <w:rsid w:val="005E20DB"/>
    <w:rsid w:val="006779DE"/>
    <w:rsid w:val="006A4ECE"/>
    <w:rsid w:val="006C5AFC"/>
    <w:rsid w:val="00746EDE"/>
    <w:rsid w:val="007A7066"/>
    <w:rsid w:val="007C3424"/>
    <w:rsid w:val="008713AE"/>
    <w:rsid w:val="00872397"/>
    <w:rsid w:val="008A3D69"/>
    <w:rsid w:val="008C4395"/>
    <w:rsid w:val="0099169E"/>
    <w:rsid w:val="00A33496"/>
    <w:rsid w:val="00BF1491"/>
    <w:rsid w:val="00C5492A"/>
    <w:rsid w:val="00D221D6"/>
    <w:rsid w:val="00D87D9B"/>
    <w:rsid w:val="00DD0AC9"/>
    <w:rsid w:val="00DF0EAD"/>
    <w:rsid w:val="00E850E4"/>
    <w:rsid w:val="00E91FB2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F1491"/>
    <w:rPr>
      <w:rFonts w:asciiTheme="minorHAnsi" w:eastAsiaTheme="minorHAnsi" w:hAnsiTheme="minorHAnsi" w:cstheme="minorBidi"/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416643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416643"/>
    <w:pPr>
      <w:spacing w:before="120" w:after="120"/>
      <w:ind w:firstLine="1418"/>
      <w:jc w:val="both"/>
    </w:pPr>
    <w:rPr>
      <w:rFonts w:ascii="Arial" w:eastAsia="Times New Roman" w:hAnsi="Arial" w:cs="Times New Roman"/>
      <w:sz w:val="22"/>
      <w:lang w:val="pt-BR" w:eastAsia="pt-BR"/>
    </w:rPr>
  </w:style>
  <w:style w:type="paragraph" w:customStyle="1" w:styleId="centralizar">
    <w:name w:val="centralizar"/>
    <w:basedOn w:val="Pargrafo"/>
    <w:next w:val="Pargrafo"/>
    <w:link w:val="centralizarChar"/>
    <w:rsid w:val="00416643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416643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lang w:val="pt-BR" w:eastAsia="pt-BR"/>
    </w:rPr>
  </w:style>
  <w:style w:type="paragraph" w:customStyle="1" w:styleId="transcrio2">
    <w:name w:val="transcrição 2"/>
    <w:basedOn w:val="Transcrio"/>
    <w:rsid w:val="00416643"/>
    <w:pPr>
      <w:ind w:left="2835"/>
    </w:pPr>
  </w:style>
  <w:style w:type="paragraph" w:customStyle="1" w:styleId="transcrio3">
    <w:name w:val="transcrição 3"/>
    <w:basedOn w:val="Identificao"/>
    <w:rsid w:val="00416643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16643"/>
    <w:pPr>
      <w:ind w:left="4536"/>
    </w:pPr>
  </w:style>
  <w:style w:type="paragraph" w:customStyle="1" w:styleId="assinatura">
    <w:name w:val="assinatura"/>
    <w:basedOn w:val="Pargrafo"/>
    <w:rsid w:val="00416643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16643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  <w:rPr>
      <w:rFonts w:ascii="Times New Roman" w:eastAsia="Times New Roman" w:hAnsi="Times New Roman" w:cs="Times New Roman"/>
      <w:lang w:val="pt-BR"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0F4C64"/>
    <w:rPr>
      <w:rFonts w:ascii="Consolas" w:hAnsi="Consolas"/>
      <w:sz w:val="21"/>
      <w:szCs w:val="21"/>
      <w:lang w:val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F4C64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D87D9B"/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rsid w:val="00D87D9B"/>
    <w:rPr>
      <w:rFonts w:ascii="Tahoma" w:hAnsi="Tahoma" w:cs="Tahoma"/>
      <w:sz w:val="16"/>
      <w:szCs w:val="16"/>
    </w:rPr>
  </w:style>
  <w:style w:type="character" w:customStyle="1" w:styleId="centralizarChar">
    <w:name w:val="centralizar Char"/>
    <w:link w:val="centralizar"/>
    <w:locked/>
    <w:rsid w:val="00D87D9B"/>
    <w:rPr>
      <w:rFonts w:ascii="Arial" w:hAnsi="Arial"/>
      <w:b/>
      <w:sz w:val="22"/>
      <w:szCs w:val="24"/>
    </w:rPr>
  </w:style>
  <w:style w:type="character" w:customStyle="1" w:styleId="PargrafoChar">
    <w:name w:val="Parágrafo Char"/>
    <w:link w:val="Pargrafo"/>
    <w:rsid w:val="00D87D9B"/>
    <w:rPr>
      <w:rFonts w:ascii="Arial" w:hAnsi="Arial"/>
      <w:sz w:val="22"/>
      <w:szCs w:val="24"/>
    </w:rPr>
  </w:style>
  <w:style w:type="paragraph" w:styleId="PargrafodaLista">
    <w:name w:val="List Paragraph"/>
    <w:basedOn w:val="Normal"/>
    <w:uiPriority w:val="34"/>
    <w:qFormat/>
    <w:rsid w:val="00D87D9B"/>
    <w:pPr>
      <w:ind w:left="720"/>
      <w:contextualSpacing/>
    </w:pPr>
    <w:rPr>
      <w:rFonts w:ascii="Times New Roman" w:eastAsia="Times New Roman" w:hAnsi="Times New Roman" w:cs="Times New Roman"/>
      <w:lang w:val="pt-BR" w:eastAsia="pt-BR"/>
    </w:rPr>
  </w:style>
  <w:style w:type="paragraph" w:styleId="NormalWeb">
    <w:name w:val="Normal (Web)"/>
    <w:basedOn w:val="Normal"/>
    <w:uiPriority w:val="99"/>
    <w:unhideWhenUsed/>
    <w:rsid w:val="00BF1491"/>
    <w:pPr>
      <w:spacing w:before="100" w:beforeAutospacing="1" w:after="100" w:afterAutospacing="1"/>
    </w:pPr>
    <w:rPr>
      <w:rFonts w:ascii="Times New Roman" w:hAnsi="Times New Roman" w:cs="Times New Roman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PADRÃO.DOT</Template>
  <TotalTime>7</TotalTime>
  <Pages>3</Pages>
  <Words>1079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6</cp:revision>
  <cp:lastPrinted>2018-05-16T19:58:00Z</cp:lastPrinted>
  <dcterms:created xsi:type="dcterms:W3CDTF">2018-04-11T19:02:00Z</dcterms:created>
  <dcterms:modified xsi:type="dcterms:W3CDTF">2018-05-16T19:59:00Z</dcterms:modified>
</cp:coreProperties>
</file>