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C0C" w:rsidRDefault="003E1C0C" w:rsidP="00F23EA8">
      <w:pPr>
        <w:pStyle w:val="TextosemFormatao"/>
        <w:rPr>
          <w:rFonts w:ascii="Courier New" w:hAnsi="Courier New" w:cs="Courier New"/>
        </w:rPr>
      </w:pPr>
    </w:p>
    <w:p w:rsidR="003E1C0C" w:rsidRPr="00F23EA8" w:rsidRDefault="003E1C0C" w:rsidP="003E1C0C">
      <w:pPr>
        <w:pStyle w:val="Identificao"/>
      </w:pPr>
      <w:r w:rsidRPr="00F23EA8">
        <w:t xml:space="preserve">Numeração Única: 46695820104013306 </w:t>
      </w:r>
    </w:p>
    <w:p w:rsidR="003E1C0C" w:rsidRPr="00F23EA8" w:rsidRDefault="003E1C0C" w:rsidP="003E1C0C">
      <w:pPr>
        <w:pStyle w:val="Identificao"/>
      </w:pPr>
      <w:r w:rsidRPr="00F23EA8">
        <w:t>APELAÇÃO/REEXAME NECESSÁRIO</w:t>
      </w:r>
      <w:proofErr w:type="gramStart"/>
      <w:r w:rsidRPr="00F23EA8">
        <w:t xml:space="preserve">  </w:t>
      </w:r>
      <w:proofErr w:type="gramEnd"/>
      <w:r w:rsidRPr="00F23EA8">
        <w:t>0004669-58.2010.4.01.3306/BA</w:t>
      </w:r>
    </w:p>
    <w:p w:rsidR="003E1C0C" w:rsidRPr="00F23EA8" w:rsidRDefault="003E1C0C" w:rsidP="003E1C0C">
      <w:pPr>
        <w:pStyle w:val="Identificao"/>
      </w:pPr>
      <w:r w:rsidRPr="00F23EA8">
        <w:t>Processo na Origem: 46695820104013306</w:t>
      </w:r>
    </w:p>
    <w:p w:rsidR="003E1C0C" w:rsidRDefault="003E1C0C" w:rsidP="003E1C0C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3E1C0C" w:rsidRPr="003E1C0C" w:rsidTr="003E1C0C">
        <w:tc>
          <w:tcPr>
            <w:tcW w:w="20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proofErr w:type="gramStart"/>
            <w:r w:rsidRPr="003E1C0C">
              <w:t>RELATOR(</w:t>
            </w:r>
            <w:proofErr w:type="gramEnd"/>
            <w:r w:rsidRPr="003E1C0C">
              <w:t>A)</w:t>
            </w:r>
          </w:p>
        </w:tc>
        <w:tc>
          <w:tcPr>
            <w:tcW w:w="3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:</w:t>
            </w:r>
          </w:p>
        </w:tc>
        <w:tc>
          <w:tcPr>
            <w:tcW w:w="76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JUIZ FEDERAL FABIO ROGERIO FRANÇA SOUZA</w:t>
            </w:r>
          </w:p>
        </w:tc>
      </w:tr>
      <w:tr w:rsidR="003E1C0C" w:rsidRPr="003E1C0C" w:rsidTr="003E1C0C">
        <w:tc>
          <w:tcPr>
            <w:tcW w:w="20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APELANTE</w:t>
            </w:r>
          </w:p>
        </w:tc>
        <w:tc>
          <w:tcPr>
            <w:tcW w:w="3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:</w:t>
            </w:r>
          </w:p>
        </w:tc>
        <w:tc>
          <w:tcPr>
            <w:tcW w:w="76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 xml:space="preserve">INSTITUTO NACIONAL DO SEGURO SOCIAL - INSS </w:t>
            </w:r>
          </w:p>
        </w:tc>
      </w:tr>
      <w:tr w:rsidR="003E1C0C" w:rsidRPr="003E1C0C" w:rsidTr="003E1C0C">
        <w:tc>
          <w:tcPr>
            <w:tcW w:w="20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PROCURADOR</w:t>
            </w:r>
          </w:p>
        </w:tc>
        <w:tc>
          <w:tcPr>
            <w:tcW w:w="3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:</w:t>
            </w:r>
          </w:p>
        </w:tc>
        <w:tc>
          <w:tcPr>
            <w:tcW w:w="76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 xml:space="preserve">ADRIANA MAIA VENTURINI </w:t>
            </w:r>
          </w:p>
        </w:tc>
      </w:tr>
      <w:tr w:rsidR="003E1C0C" w:rsidRPr="003E1C0C" w:rsidTr="003E1C0C">
        <w:tc>
          <w:tcPr>
            <w:tcW w:w="20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APELADO</w:t>
            </w:r>
          </w:p>
        </w:tc>
        <w:tc>
          <w:tcPr>
            <w:tcW w:w="3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:</w:t>
            </w:r>
          </w:p>
        </w:tc>
        <w:tc>
          <w:tcPr>
            <w:tcW w:w="76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 xml:space="preserve">IRENE MARIA SILVA </w:t>
            </w:r>
          </w:p>
        </w:tc>
      </w:tr>
      <w:tr w:rsidR="003E1C0C" w:rsidRPr="003E1C0C" w:rsidTr="003E1C0C">
        <w:tc>
          <w:tcPr>
            <w:tcW w:w="20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ADVOGADO</w:t>
            </w:r>
          </w:p>
        </w:tc>
        <w:tc>
          <w:tcPr>
            <w:tcW w:w="3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:</w:t>
            </w:r>
          </w:p>
        </w:tc>
        <w:tc>
          <w:tcPr>
            <w:tcW w:w="76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 xml:space="preserve">AL00009302 - ISADORA MARIA SILVA LEITE </w:t>
            </w:r>
          </w:p>
        </w:tc>
      </w:tr>
      <w:tr w:rsidR="003E1C0C" w:rsidRPr="003E1C0C" w:rsidTr="003E1C0C">
        <w:tc>
          <w:tcPr>
            <w:tcW w:w="20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REMETENTE</w:t>
            </w:r>
          </w:p>
        </w:tc>
        <w:tc>
          <w:tcPr>
            <w:tcW w:w="3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>:</w:t>
            </w:r>
          </w:p>
        </w:tc>
        <w:tc>
          <w:tcPr>
            <w:tcW w:w="7600" w:type="dxa"/>
            <w:shd w:val="clear" w:color="auto" w:fill="auto"/>
          </w:tcPr>
          <w:p w:rsidR="003E1C0C" w:rsidRPr="003E1C0C" w:rsidRDefault="003E1C0C" w:rsidP="003E1C0C">
            <w:pPr>
              <w:pStyle w:val="Identificao"/>
            </w:pPr>
            <w:r w:rsidRPr="003E1C0C">
              <w:t xml:space="preserve">JUIZO FEDERAL DA SUBSECAO JUDICIARIA DE PAULO AFONSO - BA </w:t>
            </w:r>
          </w:p>
        </w:tc>
      </w:tr>
    </w:tbl>
    <w:p w:rsidR="003E1C0C" w:rsidRDefault="003E1C0C" w:rsidP="003E1C0C">
      <w:pPr>
        <w:pStyle w:val="Identificao"/>
      </w:pPr>
    </w:p>
    <w:p w:rsidR="008C291D" w:rsidRPr="00982F48" w:rsidRDefault="008C291D" w:rsidP="008C291D">
      <w:pPr>
        <w:pStyle w:val="Recuodecorpodetexto2"/>
        <w:spacing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 w:rsidRPr="00982F48">
        <w:rPr>
          <w:rFonts w:ascii="Arial" w:hAnsi="Arial" w:cs="Arial"/>
          <w:b/>
          <w:sz w:val="20"/>
          <w:szCs w:val="20"/>
        </w:rPr>
        <w:t>RELATÓRIO</w:t>
      </w:r>
    </w:p>
    <w:p w:rsidR="008C291D" w:rsidRPr="00982F48" w:rsidRDefault="008C291D" w:rsidP="008C291D">
      <w:pPr>
        <w:pStyle w:val="Recuodecorpodetexto2"/>
        <w:spacing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8C291D" w:rsidRDefault="008C291D" w:rsidP="008C291D">
      <w:pPr>
        <w:pStyle w:val="Recuodecorpodetexto2"/>
        <w:spacing w:line="360" w:lineRule="auto"/>
        <w:ind w:left="0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Trata-se de Remessa Oficial e Apelação interposta em face de sentença que julgou procedente o pedido, concedendo o benefício de aposentadoria especial ao autor, após o reconhecimento da especialidade do labor desempenhado entre 16.08.1982 e 31.01.2008.</w:t>
      </w:r>
    </w:p>
    <w:p w:rsidR="008C291D" w:rsidRPr="00982F48" w:rsidRDefault="008C291D" w:rsidP="008C291D">
      <w:pPr>
        <w:pStyle w:val="Recuodecorpodetexto2"/>
        <w:spacing w:line="360" w:lineRule="auto"/>
        <w:ind w:left="0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Não foram apresentadas contra razões.</w:t>
      </w:r>
    </w:p>
    <w:p w:rsidR="008C291D" w:rsidRPr="00982F48" w:rsidRDefault="008C291D" w:rsidP="008C291D">
      <w:pPr>
        <w:pStyle w:val="Recuodecorpodetexto2"/>
        <w:spacing w:line="360" w:lineRule="auto"/>
        <w:ind w:left="0" w:firstLine="1134"/>
        <w:jc w:val="both"/>
        <w:rPr>
          <w:rFonts w:ascii="Arial" w:hAnsi="Arial" w:cs="Arial"/>
          <w:sz w:val="20"/>
          <w:szCs w:val="20"/>
        </w:rPr>
      </w:pPr>
      <w:r w:rsidRPr="00982F48">
        <w:rPr>
          <w:rFonts w:ascii="Arial" w:hAnsi="Arial" w:cs="Arial"/>
          <w:sz w:val="20"/>
          <w:szCs w:val="20"/>
        </w:rPr>
        <w:t>É o relatório.</w:t>
      </w:r>
    </w:p>
    <w:p w:rsidR="008C291D" w:rsidRPr="00982F48" w:rsidRDefault="008C291D" w:rsidP="008C291D">
      <w:pPr>
        <w:pStyle w:val="Recuodecorpodetexto2"/>
        <w:spacing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 w:rsidRPr="00982F48">
        <w:rPr>
          <w:rFonts w:ascii="Arial" w:hAnsi="Arial" w:cs="Arial"/>
          <w:b/>
          <w:sz w:val="20"/>
          <w:szCs w:val="20"/>
        </w:rPr>
        <w:t>VOTO</w:t>
      </w: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controvérsia cinge-se ao período acima declinado, no qual o apelado esteve vinculado à EBDA, laborando como veterinário no exercício do cargo de “</w:t>
      </w:r>
      <w:r w:rsidRPr="00853BC6">
        <w:rPr>
          <w:rFonts w:ascii="Arial" w:hAnsi="Arial" w:cs="Arial"/>
          <w:i/>
          <w:sz w:val="20"/>
          <w:szCs w:val="20"/>
        </w:rPr>
        <w:t>TÉCNICO EM AGROPECUÁRIA E TÉC EXT RURAL</w:t>
      </w:r>
      <w:r>
        <w:rPr>
          <w:rFonts w:ascii="Arial" w:hAnsi="Arial" w:cs="Arial"/>
          <w:sz w:val="20"/>
          <w:szCs w:val="20"/>
        </w:rPr>
        <w:t>”.</w:t>
      </w: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 w:rsidRPr="00853BC6">
        <w:rPr>
          <w:rFonts w:ascii="Arial" w:hAnsi="Arial" w:cs="Arial"/>
          <w:sz w:val="20"/>
          <w:szCs w:val="20"/>
        </w:rPr>
        <w:t xml:space="preserve">Em relação aos documentos que supostamente dariam supedâneo ao pleito, anexa aos autos </w:t>
      </w:r>
      <w:r>
        <w:rPr>
          <w:rFonts w:ascii="Arial" w:hAnsi="Arial" w:cs="Arial"/>
          <w:sz w:val="20"/>
          <w:szCs w:val="20"/>
        </w:rPr>
        <w:t>o PPP juntado às fls. 25/26, preenchido em conformidade com as informações fornecidas pelo laudo pericial de fls. 29/33.</w:t>
      </w:r>
    </w:p>
    <w:p w:rsidR="008C291D" w:rsidRPr="004B7CF7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início, n</w:t>
      </w:r>
      <w:r w:rsidRPr="004B7CF7">
        <w:rPr>
          <w:rFonts w:ascii="Arial" w:hAnsi="Arial" w:cs="Arial"/>
          <w:sz w:val="20"/>
          <w:szCs w:val="20"/>
        </w:rPr>
        <w:t>o que concerne ao laudo pericial da lavra da Delegacia Regional do Trabalho na Bahia, segundo o qual as atividades exercidas pelo cargo desempenhado pel</w:t>
      </w:r>
      <w:r>
        <w:rPr>
          <w:rFonts w:ascii="Arial" w:hAnsi="Arial" w:cs="Arial"/>
          <w:sz w:val="20"/>
          <w:szCs w:val="20"/>
        </w:rPr>
        <w:t>o</w:t>
      </w:r>
      <w:r w:rsidRPr="004B7CF7">
        <w:rPr>
          <w:rFonts w:ascii="Arial" w:hAnsi="Arial" w:cs="Arial"/>
          <w:sz w:val="20"/>
          <w:szCs w:val="20"/>
        </w:rPr>
        <w:t xml:space="preserve"> autor são classificadas como insalubres em grau médio,</w:t>
      </w:r>
      <w:r>
        <w:rPr>
          <w:rFonts w:ascii="Arial" w:hAnsi="Arial" w:cs="Arial"/>
          <w:sz w:val="20"/>
          <w:szCs w:val="20"/>
        </w:rPr>
        <w:t xml:space="preserve"> tenho que</w:t>
      </w:r>
      <w:r w:rsidRPr="004B7CF7">
        <w:rPr>
          <w:rFonts w:ascii="Arial" w:hAnsi="Arial" w:cs="Arial"/>
          <w:sz w:val="20"/>
          <w:szCs w:val="20"/>
        </w:rPr>
        <w:t xml:space="preserve"> </w:t>
      </w:r>
      <w:r w:rsidRPr="004B7CF7">
        <w:rPr>
          <w:rFonts w:ascii="Arial" w:hAnsi="Arial" w:cs="Arial"/>
          <w:b/>
          <w:sz w:val="20"/>
          <w:szCs w:val="20"/>
        </w:rPr>
        <w:t>não se presta à comprovação da especialidade do tempo de serviço</w:t>
      </w:r>
      <w:r w:rsidRPr="004B7CF7">
        <w:rPr>
          <w:rFonts w:ascii="Arial" w:hAnsi="Arial" w:cs="Arial"/>
          <w:sz w:val="20"/>
          <w:szCs w:val="20"/>
        </w:rPr>
        <w:t>. É que, conforme predominante orientação pretoriana, “</w:t>
      </w:r>
      <w:r w:rsidRPr="004B7CF7">
        <w:rPr>
          <w:rFonts w:ascii="Arial" w:hAnsi="Arial" w:cs="Arial"/>
          <w:i/>
          <w:sz w:val="20"/>
          <w:szCs w:val="20"/>
        </w:rPr>
        <w:t>o percebimento de adicional de insalubridade, por si só, não é prova conclusiva das circunstâncias especiais do labor e do consequente direito à conversão do tempo de serviço especial para comum, tendo em vista serem diversas as sistemáticas do direito trabalhista e previdenciário</w:t>
      </w:r>
      <w:r w:rsidRPr="004B7CF7">
        <w:rPr>
          <w:rFonts w:ascii="Arial" w:hAnsi="Arial" w:cs="Arial"/>
          <w:sz w:val="20"/>
          <w:szCs w:val="20"/>
        </w:rPr>
        <w:t>”</w:t>
      </w:r>
      <w:proofErr w:type="gramStart"/>
      <w:r w:rsidRPr="004B7CF7">
        <w:rPr>
          <w:rFonts w:ascii="Arial" w:hAnsi="Arial" w:cs="Arial"/>
          <w:sz w:val="20"/>
          <w:szCs w:val="20"/>
        </w:rPr>
        <w:t xml:space="preserve">  </w:t>
      </w:r>
      <w:proofErr w:type="gramEnd"/>
      <w:r w:rsidRPr="004B7CF7">
        <w:rPr>
          <w:rFonts w:ascii="Arial" w:hAnsi="Arial" w:cs="Arial"/>
          <w:sz w:val="20"/>
          <w:szCs w:val="20"/>
        </w:rPr>
        <w:t xml:space="preserve">(EDAGRESP 200702630250, CELSO LIMONGI (DESEMBARGADOR CONVOCADO DO TJ/SP), STJ - SEXTA TURMA, DJE DATA:02/03/2009 RIOBTP VOL.:00238 PG:00155 ..DTPB:.). Ademais, referido laudo não especifica a quais agentes químicos </w:t>
      </w:r>
      <w:proofErr w:type="gramStart"/>
      <w:r w:rsidRPr="004B7CF7">
        <w:rPr>
          <w:rFonts w:ascii="Arial" w:hAnsi="Arial" w:cs="Arial"/>
          <w:sz w:val="20"/>
          <w:szCs w:val="20"/>
        </w:rPr>
        <w:t>estaria</w:t>
      </w:r>
      <w:proofErr w:type="gramEnd"/>
      <w:r w:rsidRPr="004B7CF7">
        <w:rPr>
          <w:rFonts w:ascii="Arial" w:hAnsi="Arial" w:cs="Arial"/>
          <w:sz w:val="20"/>
          <w:szCs w:val="20"/>
        </w:rPr>
        <w:t xml:space="preserve"> a parte autora sujeita, nem tampouco os níveis de concentração desta exposição. Por fim, relata que a exposição aos riscos é variável ao longo do ano.</w:t>
      </w: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Q</w:t>
      </w:r>
      <w:r w:rsidRPr="00853BC6">
        <w:rPr>
          <w:rFonts w:ascii="Arial" w:hAnsi="Arial" w:cs="Arial"/>
          <w:sz w:val="20"/>
          <w:szCs w:val="20"/>
        </w:rPr>
        <w:t xml:space="preserve">uanto à possibilidade do enquadramento por atividade profissional, viável até o advento da Lei n. 9.032/95, </w:t>
      </w:r>
      <w:r>
        <w:rPr>
          <w:rFonts w:ascii="Arial" w:hAnsi="Arial" w:cs="Arial"/>
          <w:sz w:val="20"/>
          <w:szCs w:val="20"/>
        </w:rPr>
        <w:t xml:space="preserve">tem-se que a profissão de veterinário encontra enquadramento no código 2.1.3 do Anexo II ao Decreto 83.080/79, </w:t>
      </w:r>
      <w:r w:rsidRPr="004B7CF7">
        <w:rPr>
          <w:rFonts w:ascii="Arial" w:hAnsi="Arial" w:cs="Arial"/>
          <w:sz w:val="20"/>
          <w:szCs w:val="20"/>
          <w:u w:val="single"/>
        </w:rPr>
        <w:t>caso esteja aquele trabalhador exposto aos agentes biológicos elencados no código 1.3.0 do Anexo I do mesmo Decreto</w:t>
      </w:r>
      <w:r>
        <w:rPr>
          <w:rFonts w:ascii="Arial" w:hAnsi="Arial" w:cs="Arial"/>
          <w:sz w:val="20"/>
          <w:szCs w:val="20"/>
        </w:rPr>
        <w:t>.</w:t>
      </w: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campo referente à descrição das atividades (item 14.2 do PPP), consta a exposição a diversos agentes elencados no referido código 1.3.0, o que, a princípio, levaria à conclusão pela especialidade da atividade durante todo o interstício.</w:t>
      </w: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Ocorre que, conforme estabelecido pela legislação previdenciária (Art. 57, §3º da Lei 8.213/91, com redação dada pela Lei n. 9.032/95), a exposição, para fins de concessão da aposentadoria especial, há de se dar de forma permanente, não ocasional nem intermitente. </w:t>
      </w:r>
    </w:p>
    <w:p w:rsidR="008C291D" w:rsidRPr="00CF1911" w:rsidRDefault="008C291D" w:rsidP="008C291D">
      <w:pPr>
        <w:spacing w:after="12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Saliente-se que a exigência da permanência da exposição somente pode ser exigida a partir de 28/04/1995, data de início de vigência da Lei n. 9.032/95, que deu nova redação ao §3º do Art. 57 da Lei 8.213/91</w:t>
      </w:r>
      <w:r w:rsidRPr="008241C4">
        <w:rPr>
          <w:rFonts w:ascii="Arial" w:hAnsi="Arial" w:cs="Arial"/>
          <w:b/>
          <w:sz w:val="20"/>
          <w:szCs w:val="20"/>
        </w:rPr>
        <w:t>, não sendo aplicável aos períodos anteriores à sua publicação</w:t>
      </w:r>
      <w:r w:rsidRPr="00CF1911">
        <w:rPr>
          <w:rFonts w:ascii="Arial" w:hAnsi="Arial" w:cs="Arial"/>
          <w:sz w:val="20"/>
          <w:szCs w:val="20"/>
        </w:rPr>
        <w:t>, conforme assentado na Súmula 49 da Turma Nacional de Uniformização dos Juizados Federais (“</w:t>
      </w:r>
      <w:r w:rsidRPr="00CF1911">
        <w:rPr>
          <w:rFonts w:ascii="Arial" w:hAnsi="Arial" w:cs="Arial"/>
          <w:bCs/>
          <w:i/>
          <w:sz w:val="20"/>
          <w:szCs w:val="20"/>
        </w:rPr>
        <w:t>Para reconhecimento de condição especial de trabalho antes de 29/4/1995, a exposição a agentes nocivos à saúde ou à integridade física não precisa ocorrer de forma permanente</w:t>
      </w:r>
      <w:r>
        <w:rPr>
          <w:rFonts w:ascii="Arial" w:hAnsi="Arial" w:cs="Arial"/>
          <w:bCs/>
          <w:sz w:val="20"/>
          <w:szCs w:val="20"/>
        </w:rPr>
        <w:t>”)</w:t>
      </w:r>
      <w:r w:rsidRPr="00CF1911">
        <w:rPr>
          <w:rFonts w:ascii="Arial" w:hAnsi="Arial" w:cs="Arial"/>
          <w:bCs/>
          <w:sz w:val="20"/>
          <w:szCs w:val="20"/>
        </w:rPr>
        <w:t>.</w:t>
      </w:r>
    </w:p>
    <w:p w:rsidR="008C291D" w:rsidRDefault="008C291D" w:rsidP="008C291D">
      <w:pPr>
        <w:spacing w:after="120" w:line="360" w:lineRule="auto"/>
        <w:ind w:firstLine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Assim também tem decidido esta Câmara, como se vê do seguinte julgado:</w:t>
      </w:r>
    </w:p>
    <w:p w:rsidR="008C291D" w:rsidRPr="008241C4" w:rsidRDefault="008C291D" w:rsidP="008C291D">
      <w:pPr>
        <w:ind w:left="2552"/>
        <w:jc w:val="both"/>
        <w:rPr>
          <w:rFonts w:ascii="Arial" w:hAnsi="Arial" w:cs="Arial"/>
          <w:sz w:val="20"/>
          <w:szCs w:val="20"/>
        </w:rPr>
      </w:pPr>
      <w:r w:rsidRPr="008241C4">
        <w:rPr>
          <w:rFonts w:ascii="Arial" w:hAnsi="Arial" w:cs="Arial"/>
          <w:sz w:val="20"/>
          <w:szCs w:val="20"/>
        </w:rPr>
        <w:t>“</w:t>
      </w:r>
      <w:r w:rsidRPr="008241C4">
        <w:rPr>
          <w:rFonts w:ascii="Arial" w:hAnsi="Arial" w:cs="Arial"/>
          <w:i/>
          <w:sz w:val="20"/>
          <w:szCs w:val="20"/>
        </w:rPr>
        <w:t xml:space="preserve">PREVIDENCIÁRIO E PROCESSUAL CIVIL. SENTENÇA DECLARATÓRIA. REMESSA OFICIAL NÃO CONHECIDA. TRABALHO SOB A INCIDÊNCIA DE AGENTES NOCIVOS. ENQUADRAMENTO. </w:t>
      </w:r>
      <w:proofErr w:type="gramStart"/>
      <w:r w:rsidRPr="008241C4">
        <w:rPr>
          <w:rFonts w:ascii="Arial" w:hAnsi="Arial" w:cs="Arial"/>
          <w:i/>
          <w:sz w:val="20"/>
          <w:szCs w:val="20"/>
        </w:rPr>
        <w:t>1</w:t>
      </w:r>
      <w:proofErr w:type="gramEnd"/>
      <w:r w:rsidRPr="008241C4">
        <w:rPr>
          <w:rFonts w:ascii="Arial" w:hAnsi="Arial" w:cs="Arial"/>
          <w:i/>
          <w:sz w:val="20"/>
          <w:szCs w:val="20"/>
        </w:rPr>
        <w:t xml:space="preserve">. Não se conhece da remessa oficial, quando a sentença é meramente declaratória e dela não emana qualquer repercussão econômica contra o erário. Tal reexame obrigatório só é admissível quando o proveito econômico dela decorrente suplanta o valor de sessenta salários mínimos, nos termos do § 2º do art. 475 do CPC. 2. As condições especiais de trabalho demonstram-se: a) até 28/04/1995 (dia anterior à vigência da Lei nº 9.032/95), pelo enquadramento profissional, ou mediante formulários da própria empresa ou laudos técnicos; b) a partir de 29/04/1995, por formulários próprios (SB-40 e DSS-8030, padronizados pelo INSS), preenchidos pela empresa, ou mediante laudo; c) a partir de 06/03/1997 , por Laudo Técnico de Condições Ambientais do Trabalho (LTCAT), expedido por médico do trabalho ou engenheiro de segurança do trabalho, devendo as empresas, desde então, elaborar e manter Perfil </w:t>
      </w:r>
      <w:proofErr w:type="spellStart"/>
      <w:r w:rsidRPr="008241C4">
        <w:rPr>
          <w:rFonts w:ascii="Arial" w:hAnsi="Arial" w:cs="Arial"/>
          <w:i/>
          <w:sz w:val="20"/>
          <w:szCs w:val="20"/>
        </w:rPr>
        <w:t>Profissiográfico</w:t>
      </w:r>
      <w:proofErr w:type="spellEnd"/>
      <w:r w:rsidRPr="008241C4">
        <w:rPr>
          <w:rFonts w:ascii="Arial" w:hAnsi="Arial" w:cs="Arial"/>
          <w:i/>
          <w:sz w:val="20"/>
          <w:szCs w:val="20"/>
        </w:rPr>
        <w:t xml:space="preserve"> Previdenciário (PPP) das atividades desenvolvidas pelos trabalhadores . 3. O trabalhador que desempenha diuturnamente suas funções em locais insalubres, mesmo que apenas em parte de sua jornada, tem direito ao computo do tempo de serviço especial . 4. </w:t>
      </w:r>
      <w:r w:rsidRPr="008241C4">
        <w:rPr>
          <w:rFonts w:ascii="Arial" w:hAnsi="Arial" w:cs="Arial"/>
          <w:b/>
          <w:i/>
          <w:sz w:val="20"/>
          <w:szCs w:val="20"/>
        </w:rPr>
        <w:t>A dupla exigência da habitualidade e da permanência somente é possível a partir de 29/04/1995, quando entrou em vigor a Lei 9.032, que alterou a redação do § 3º do art. 57 da Lei 8.213/91. Em razão do seu caráter restritivo, é vedada a sua aplicação retroativa</w:t>
      </w:r>
      <w:r>
        <w:rPr>
          <w:rFonts w:ascii="Arial" w:hAnsi="Arial" w:cs="Arial"/>
          <w:sz w:val="20"/>
          <w:szCs w:val="20"/>
        </w:rPr>
        <w:t>. (...)</w:t>
      </w:r>
      <w:r w:rsidRPr="008241C4">
        <w:rPr>
          <w:rFonts w:ascii="Arial" w:hAnsi="Arial" w:cs="Arial"/>
          <w:sz w:val="20"/>
          <w:szCs w:val="20"/>
        </w:rPr>
        <w:t>” (AC 00072396920094013300, JUIZ FEDERAL CRISTIANO MIRANDA DE SANTANA, TRF1 - 1ª CÂMARA REGIONAL PREVIDENCIÁRIA DA BAHIA, e-DJF1 DATA:18/11/2015 PAGINA:.)</w:t>
      </w:r>
      <w:r>
        <w:rPr>
          <w:rFonts w:ascii="Arial" w:hAnsi="Arial" w:cs="Arial"/>
          <w:sz w:val="20"/>
          <w:szCs w:val="20"/>
        </w:rPr>
        <w:t>. Destaquei.</w:t>
      </w: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Consoante laudo pericial de fls.29/33, anexado aos autos pelo próprio demandante, especificamente no que toca ao tempo de exposição aos fatores nocivos, restou consignado que “</w:t>
      </w:r>
      <w:r w:rsidRPr="006A6738">
        <w:rPr>
          <w:rFonts w:ascii="Arial" w:hAnsi="Arial" w:cs="Arial"/>
          <w:b/>
          <w:i/>
          <w:sz w:val="20"/>
          <w:szCs w:val="20"/>
        </w:rPr>
        <w:t>O tempo de exposição individual varia</w:t>
      </w:r>
      <w:r w:rsidRPr="006A6738">
        <w:rPr>
          <w:rFonts w:ascii="Arial" w:hAnsi="Arial" w:cs="Arial"/>
          <w:i/>
          <w:sz w:val="20"/>
          <w:szCs w:val="20"/>
        </w:rPr>
        <w:t xml:space="preserve"> segundo a programação das atividades nos projetos e recursos existentes. Neste sentido </w:t>
      </w:r>
      <w:r w:rsidRPr="006A6738">
        <w:rPr>
          <w:rFonts w:ascii="Arial" w:hAnsi="Arial" w:cs="Arial"/>
          <w:b/>
          <w:i/>
          <w:sz w:val="20"/>
          <w:szCs w:val="20"/>
        </w:rPr>
        <w:t>a quantificação do tempo de exposição aos riscos é muito difícil e variável</w:t>
      </w:r>
      <w:r w:rsidRPr="006A6738">
        <w:rPr>
          <w:rFonts w:ascii="Arial" w:hAnsi="Arial" w:cs="Arial"/>
          <w:i/>
          <w:sz w:val="20"/>
          <w:szCs w:val="20"/>
        </w:rPr>
        <w:t xml:space="preserve"> para cada técnico e período do ano</w:t>
      </w:r>
      <w:r>
        <w:rPr>
          <w:rFonts w:ascii="Arial" w:hAnsi="Arial" w:cs="Arial"/>
          <w:sz w:val="20"/>
          <w:szCs w:val="20"/>
        </w:rPr>
        <w:t>” (destaquei).</w:t>
      </w:r>
    </w:p>
    <w:p w:rsidR="008C291D" w:rsidRPr="00EB29D7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lastRenderedPageBreak/>
        <w:t xml:space="preserve">Assim sendo, resta prejudicado o requisito da permanência de exposição aos agentes nocivos, </w:t>
      </w:r>
      <w:r w:rsidRPr="00EB29D7">
        <w:rPr>
          <w:rFonts w:ascii="Arial" w:hAnsi="Arial" w:cs="Arial"/>
          <w:sz w:val="20"/>
          <w:szCs w:val="20"/>
          <w:u w:val="single"/>
        </w:rPr>
        <w:t>pelo que se torna indevido o reconhecimento da especialidade das atividades assim desenvolvidas a partir de 28/04/1995.</w:t>
      </w: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Deste modo, o reconhecimento da especialidade do período controverso nos autos deverá ser limitado a 27/04/1995, data até a qual não era exigida habitualidade na exposição aos agentes nocivos.</w:t>
      </w: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Considerando a limitação temporal aqui imposta, também deve ser desconsiderada a especialidade do período compreendido entre 07/08/1990 e 01/06/1992, no qual esteve cedida à Secretaria de Saúde do Estado da Bahia (fls. 135/136 e 151). À</w:t>
      </w:r>
      <w:r w:rsidRPr="00112911">
        <w:rPr>
          <w:rFonts w:ascii="Arial" w:hAnsi="Arial" w:cs="Arial"/>
          <w:sz w:val="20"/>
          <w:szCs w:val="20"/>
        </w:rPr>
        <w:t xml:space="preserve"> míngua da comprovação das atividades exercidas e da efetiva exposição a agentes insalubres, o que deveria se dar por meio de formulários preenchidos pela cessionári</w:t>
      </w:r>
      <w:r>
        <w:rPr>
          <w:rFonts w:ascii="Arial" w:hAnsi="Arial" w:cs="Arial"/>
          <w:sz w:val="20"/>
          <w:szCs w:val="20"/>
        </w:rPr>
        <w:t>a</w:t>
      </w:r>
      <w:r w:rsidRPr="00112911">
        <w:rPr>
          <w:rFonts w:ascii="Arial" w:hAnsi="Arial" w:cs="Arial"/>
          <w:sz w:val="20"/>
          <w:szCs w:val="20"/>
        </w:rPr>
        <w:t xml:space="preserve"> ou, ao menos, por indicação precisa e detalhada das tarefas em cada período no PPP subscrito pela empresa cedente</w:t>
      </w:r>
      <w:r>
        <w:rPr>
          <w:rFonts w:ascii="Arial" w:hAnsi="Arial" w:cs="Arial"/>
          <w:sz w:val="20"/>
          <w:szCs w:val="20"/>
        </w:rPr>
        <w:t>, não há como se reconhecer a especialidade do período.</w:t>
      </w:r>
    </w:p>
    <w:p w:rsidR="008C291D" w:rsidRDefault="008C291D" w:rsidP="008C291D">
      <w:pPr>
        <w:spacing w:line="360" w:lineRule="auto"/>
        <w:ind w:right="45"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Conclui-se, portanto, ser indevida a concessão do benefício de aposentadoria especial, eis que limitado o reconhecimento da especialidade do labor aos seguintes períodos: 16/08/1982 a 06/08/1990 e 02/06/1992 a 27/04/1995.</w:t>
      </w:r>
    </w:p>
    <w:p w:rsidR="008C291D" w:rsidRPr="00586C6E" w:rsidRDefault="008C291D" w:rsidP="008C291D">
      <w:pPr>
        <w:pStyle w:val="ementa"/>
        <w:spacing w:before="0" w:after="0" w:line="360" w:lineRule="auto"/>
        <w:ind w:firstLine="1134"/>
        <w:rPr>
          <w:rFonts w:cs="Arial"/>
          <w:bCs/>
          <w:sz w:val="20"/>
          <w:szCs w:val="20"/>
        </w:rPr>
      </w:pPr>
      <w:proofErr w:type="gramStart"/>
      <w:r w:rsidRPr="00982F48">
        <w:rPr>
          <w:rFonts w:cs="Arial"/>
          <w:bCs/>
          <w:sz w:val="20"/>
          <w:szCs w:val="20"/>
        </w:rPr>
        <w:t>Isto posto</w:t>
      </w:r>
      <w:proofErr w:type="gramEnd"/>
      <w:r w:rsidRPr="00982F48">
        <w:rPr>
          <w:rFonts w:cs="Arial"/>
          <w:bCs/>
          <w:sz w:val="20"/>
          <w:szCs w:val="20"/>
        </w:rPr>
        <w:t>,</w:t>
      </w:r>
      <w:r>
        <w:rPr>
          <w:rFonts w:cs="Arial"/>
          <w:bCs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dou parcial</w:t>
      </w:r>
      <w:r w:rsidRPr="00982F48">
        <w:rPr>
          <w:rFonts w:cs="Arial"/>
          <w:b/>
          <w:bCs/>
          <w:sz w:val="20"/>
          <w:szCs w:val="20"/>
        </w:rPr>
        <w:t xml:space="preserve"> provimento à</w:t>
      </w:r>
      <w:r>
        <w:rPr>
          <w:rFonts w:cs="Arial"/>
          <w:b/>
          <w:bCs/>
          <w:sz w:val="20"/>
          <w:szCs w:val="20"/>
        </w:rPr>
        <w:t xml:space="preserve"> Apelação do INSS e à</w:t>
      </w:r>
      <w:r w:rsidRPr="00982F48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 xml:space="preserve">Remessa Oficial, para reformar a Sentença, julgando-se parcialmente procedente o pedido, </w:t>
      </w:r>
      <w:r w:rsidRPr="00586C6E">
        <w:rPr>
          <w:rFonts w:cs="Arial"/>
          <w:bCs/>
          <w:sz w:val="20"/>
          <w:szCs w:val="20"/>
        </w:rPr>
        <w:t>apenas</w:t>
      </w:r>
      <w:r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bCs/>
          <w:sz w:val="20"/>
          <w:szCs w:val="20"/>
        </w:rPr>
        <w:t xml:space="preserve">para reconhecer especiais os períodos de </w:t>
      </w:r>
      <w:r w:rsidRPr="00586C6E">
        <w:rPr>
          <w:rFonts w:cs="Arial"/>
          <w:bCs/>
          <w:sz w:val="20"/>
          <w:szCs w:val="20"/>
        </w:rPr>
        <w:t>16/08/1982 a 06/08/1990 e 02/06/1992 a 27/04/1995.</w:t>
      </w:r>
    </w:p>
    <w:p w:rsidR="008C291D" w:rsidRDefault="008C291D" w:rsidP="008C291D">
      <w:pPr>
        <w:pStyle w:val="ementa"/>
        <w:spacing w:before="0" w:after="0" w:line="360" w:lineRule="auto"/>
        <w:ind w:firstLine="1134"/>
        <w:rPr>
          <w:rFonts w:cs="Arial"/>
          <w:bCs/>
          <w:sz w:val="20"/>
          <w:szCs w:val="20"/>
        </w:rPr>
      </w:pPr>
    </w:p>
    <w:p w:rsidR="008C291D" w:rsidRDefault="008C291D" w:rsidP="008C291D">
      <w:pPr>
        <w:pStyle w:val="ementa"/>
        <w:spacing w:before="0" w:line="360" w:lineRule="auto"/>
        <w:ind w:firstLine="1134"/>
        <w:rPr>
          <w:sz w:val="20"/>
          <w:szCs w:val="20"/>
        </w:rPr>
      </w:pPr>
      <w:r>
        <w:rPr>
          <w:rFonts w:cs="Arial"/>
          <w:bCs/>
          <w:sz w:val="20"/>
          <w:szCs w:val="20"/>
        </w:rPr>
        <w:t>P</w:t>
      </w:r>
      <w:r w:rsidRPr="00FA106E">
        <w:rPr>
          <w:rFonts w:cs="Arial"/>
          <w:bCs/>
          <w:sz w:val="20"/>
          <w:szCs w:val="20"/>
        </w:rPr>
        <w:t xml:space="preserve">or consequência, </w:t>
      </w:r>
      <w:r w:rsidRPr="00D25D51">
        <w:rPr>
          <w:rFonts w:cs="Arial"/>
          <w:b/>
          <w:bCs/>
          <w:sz w:val="20"/>
          <w:szCs w:val="20"/>
        </w:rPr>
        <w:t xml:space="preserve">revoga-se a antecipação da tutela, com efeitos </w:t>
      </w:r>
      <w:r w:rsidRPr="00D25D51">
        <w:rPr>
          <w:rFonts w:cs="Arial"/>
          <w:b/>
          <w:bCs/>
          <w:i/>
          <w:sz w:val="20"/>
          <w:szCs w:val="20"/>
        </w:rPr>
        <w:t xml:space="preserve">ex </w:t>
      </w:r>
      <w:proofErr w:type="spellStart"/>
      <w:r w:rsidRPr="00D25D51">
        <w:rPr>
          <w:rFonts w:cs="Arial"/>
          <w:b/>
          <w:bCs/>
          <w:i/>
          <w:sz w:val="20"/>
          <w:szCs w:val="20"/>
        </w:rPr>
        <w:t>nunc</w:t>
      </w:r>
      <w:proofErr w:type="spellEnd"/>
      <w:r w:rsidRPr="00FA106E">
        <w:rPr>
          <w:rFonts w:cs="Arial"/>
          <w:bCs/>
          <w:sz w:val="20"/>
          <w:szCs w:val="20"/>
        </w:rPr>
        <w:t>, t</w:t>
      </w:r>
      <w:r w:rsidRPr="00FA106E">
        <w:rPr>
          <w:sz w:val="20"/>
          <w:szCs w:val="20"/>
        </w:rPr>
        <w:t xml:space="preserve">endo em vista o caráter alimentar dos valores recebidos por força da antecipação dos efeitos da tutela, porquanto recebidos de boa-fé, e, ainda, diante do aparente conflito de posições entre o STJ e o STF, prevalecendo </w:t>
      </w:r>
      <w:proofErr w:type="gramStart"/>
      <w:r w:rsidRPr="00FA106E">
        <w:rPr>
          <w:sz w:val="20"/>
          <w:szCs w:val="20"/>
        </w:rPr>
        <w:t>a</w:t>
      </w:r>
      <w:proofErr w:type="gramEnd"/>
      <w:r w:rsidRPr="00FA106E">
        <w:rPr>
          <w:sz w:val="20"/>
          <w:szCs w:val="20"/>
        </w:rPr>
        <w:t xml:space="preserve"> interpretação da Corte Suprema (</w:t>
      </w:r>
      <w:proofErr w:type="spellStart"/>
      <w:r w:rsidRPr="00FA106E">
        <w:rPr>
          <w:sz w:val="20"/>
          <w:szCs w:val="20"/>
        </w:rPr>
        <w:t>ARE-Agr</w:t>
      </w:r>
      <w:proofErr w:type="spellEnd"/>
      <w:r w:rsidRPr="00FA106E">
        <w:rPr>
          <w:sz w:val="20"/>
          <w:szCs w:val="20"/>
        </w:rPr>
        <w:t xml:space="preserve"> nº 734.199, Relatora Ministra Rosa Weber Decisão: 09/09/2014).   </w:t>
      </w:r>
    </w:p>
    <w:p w:rsidR="008C291D" w:rsidRPr="008C291D" w:rsidRDefault="008C291D" w:rsidP="008C291D">
      <w:pPr>
        <w:pStyle w:val="ementa"/>
        <w:spacing w:line="360" w:lineRule="auto"/>
        <w:ind w:firstLine="1134"/>
        <w:rPr>
          <w:sz w:val="20"/>
          <w:szCs w:val="20"/>
        </w:rPr>
      </w:pPr>
      <w:r w:rsidRPr="00E25F55">
        <w:rPr>
          <w:sz w:val="20"/>
          <w:szCs w:val="20"/>
        </w:rPr>
        <w:t xml:space="preserve">Sucumbência mínima do INSS, já que não reconhecido o direito ao benefício. Condenação da parte autora nos ônus da sucumbência, arbitrada a verba honorária em 10% do valor da causa, ficando suspensa a exigibilidade da verba, face à gratuidade da justiça deferida (CPC/15, </w:t>
      </w:r>
      <w:proofErr w:type="spellStart"/>
      <w:r w:rsidRPr="00E25F55">
        <w:rPr>
          <w:sz w:val="20"/>
          <w:szCs w:val="20"/>
        </w:rPr>
        <w:t>arts</w:t>
      </w:r>
      <w:proofErr w:type="spellEnd"/>
      <w:r w:rsidRPr="00E25F55">
        <w:rPr>
          <w:sz w:val="20"/>
          <w:szCs w:val="20"/>
        </w:rPr>
        <w:t>. 85, § 4º, III, 86, parágrafo único e 98, § 3º).</w:t>
      </w:r>
    </w:p>
    <w:p w:rsidR="008C291D" w:rsidRPr="00982F48" w:rsidRDefault="008C291D" w:rsidP="008C291D">
      <w:pPr>
        <w:pStyle w:val="Recuodecorpodetexto2"/>
        <w:spacing w:line="360" w:lineRule="auto"/>
        <w:ind w:left="0" w:firstLine="1134"/>
        <w:jc w:val="both"/>
        <w:rPr>
          <w:rFonts w:ascii="Arial" w:hAnsi="Arial" w:cs="Arial"/>
          <w:sz w:val="20"/>
          <w:szCs w:val="20"/>
        </w:rPr>
      </w:pPr>
      <w:r w:rsidRPr="00982F48">
        <w:rPr>
          <w:rFonts w:ascii="Arial" w:hAnsi="Arial" w:cs="Arial"/>
          <w:sz w:val="20"/>
          <w:szCs w:val="20"/>
        </w:rPr>
        <w:t>É como voto.</w:t>
      </w:r>
    </w:p>
    <w:p w:rsidR="008C291D" w:rsidRPr="00982F48" w:rsidRDefault="008C291D" w:rsidP="008C291D">
      <w:pPr>
        <w:pStyle w:val="Recuodecorpodetexto2"/>
        <w:spacing w:line="360" w:lineRule="auto"/>
        <w:ind w:left="0" w:firstLine="1134"/>
        <w:jc w:val="both"/>
        <w:rPr>
          <w:rFonts w:ascii="Arial" w:hAnsi="Arial" w:cs="Arial"/>
          <w:sz w:val="20"/>
          <w:szCs w:val="20"/>
        </w:rPr>
      </w:pPr>
    </w:p>
    <w:p w:rsidR="008C291D" w:rsidRPr="00982F48" w:rsidRDefault="008C291D" w:rsidP="008C291D">
      <w:pPr>
        <w:pStyle w:val="Ttulo2"/>
        <w:spacing w:line="360" w:lineRule="auto"/>
        <w:rPr>
          <w:rFonts w:ascii="Arial" w:hAnsi="Arial" w:cs="Arial"/>
          <w:sz w:val="20"/>
        </w:rPr>
      </w:pPr>
      <w:r w:rsidRPr="00982F48">
        <w:rPr>
          <w:rFonts w:ascii="Arial" w:hAnsi="Arial" w:cs="Arial"/>
          <w:sz w:val="20"/>
        </w:rPr>
        <w:t>Juiz Federal FÁBIO ROGÉRIO FRANÇA SOUZA</w:t>
      </w:r>
    </w:p>
    <w:p w:rsidR="008C291D" w:rsidRPr="00982F48" w:rsidRDefault="008C291D" w:rsidP="008C291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82F48">
        <w:rPr>
          <w:rFonts w:ascii="Arial" w:hAnsi="Arial" w:cs="Arial"/>
          <w:sz w:val="20"/>
          <w:szCs w:val="20"/>
        </w:rPr>
        <w:t>Relator Convocado</w:t>
      </w:r>
    </w:p>
    <w:p w:rsidR="0015179D" w:rsidRPr="003E1C0C" w:rsidRDefault="0015179D" w:rsidP="003E1C0C">
      <w:pPr>
        <w:pStyle w:val="Identificao"/>
      </w:pPr>
    </w:p>
    <w:sectPr w:rsidR="0015179D" w:rsidRPr="003E1C0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C0C" w:rsidRDefault="003E1C0C">
      <w:r>
        <w:separator/>
      </w:r>
    </w:p>
  </w:endnote>
  <w:endnote w:type="continuationSeparator" w:id="0">
    <w:p w:rsidR="003E1C0C" w:rsidRDefault="003E1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127E8B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127E8B">
      <w:rPr>
        <w:rFonts w:ascii="Arial" w:hAnsi="Arial"/>
        <w:sz w:val="10"/>
      </w:rPr>
      <w:fldChar w:fldCharType="separate"/>
    </w:r>
    <w:r w:rsidR="008C291D">
      <w:rPr>
        <w:rFonts w:ascii="Arial" w:hAnsi="Arial"/>
        <w:noProof/>
        <w:sz w:val="10"/>
      </w:rPr>
      <w:t>W:\GABJU\CRP\Votos e Ementas\Sessão 05-04-16\Aposentadoria Especial\0004669-58.2010.4.01.3306_VOTO_RO E APELAÇÃO PARCIALM PROVIDAS_REVOGA LIM EF EX NUNC_exposição não permanente.doc.docx</w:t>
    </w:r>
    <w:r w:rsidR="00127E8B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127E8B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127E8B">
      <w:rPr>
        <w:rFonts w:ascii="Arial" w:hAnsi="Arial"/>
        <w:sz w:val="13"/>
      </w:rPr>
      <w:fldChar w:fldCharType="separate"/>
    </w:r>
    <w:r w:rsidR="008C291D">
      <w:rPr>
        <w:rFonts w:ascii="Arial" w:hAnsi="Arial"/>
        <w:noProof/>
        <w:sz w:val="13"/>
      </w:rPr>
      <w:t>W:\GABJU\CRP\Votos e Ementas\Sessão 05-04-16\Aposentadoria Especial\0004669-58.2010.4.01.3306_VOTO_RO E APELAÇÃO PARCIALM PROVIDAS_REVOGA LIM EF EX NUNC_exposição não permanente.doc.docx</w:t>
    </w:r>
    <w:r w:rsidR="00127E8B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127E8B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127E8B">
      <w:rPr>
        <w:rFonts w:ascii="Arial" w:hAnsi="Arial"/>
        <w:sz w:val="13"/>
      </w:rPr>
      <w:fldChar w:fldCharType="separate"/>
    </w:r>
    <w:r w:rsidR="008C291D">
      <w:rPr>
        <w:rFonts w:ascii="Arial" w:hAnsi="Arial"/>
        <w:noProof/>
        <w:sz w:val="13"/>
      </w:rPr>
      <w:t>TR300321</w:t>
    </w:r>
    <w:r w:rsidR="00127E8B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C0C" w:rsidRDefault="003E1C0C">
      <w:r>
        <w:separator/>
      </w:r>
    </w:p>
  </w:footnote>
  <w:footnote w:type="continuationSeparator" w:id="0">
    <w:p w:rsidR="003E1C0C" w:rsidRDefault="003E1C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127E8B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127E8B">
      <w:rPr>
        <w:rFonts w:ascii="Arial" w:hAnsi="Arial" w:cs="Arial"/>
        <w:bCs/>
        <w:sz w:val="16"/>
      </w:rPr>
      <w:fldChar w:fldCharType="separate"/>
    </w:r>
    <w:r w:rsidR="008C291D">
      <w:rPr>
        <w:rFonts w:ascii="Arial" w:hAnsi="Arial" w:cs="Arial"/>
        <w:bCs/>
        <w:noProof/>
        <w:sz w:val="16"/>
      </w:rPr>
      <w:t>3</w:t>
    </w:r>
    <w:r w:rsidR="00127E8B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127E8B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127E8B">
      <w:rPr>
        <w:rFonts w:ascii="Arial" w:hAnsi="Arial" w:cs="Arial"/>
        <w:bCs/>
        <w:sz w:val="16"/>
      </w:rPr>
      <w:fldChar w:fldCharType="separate"/>
    </w:r>
    <w:r w:rsidR="008C291D">
      <w:rPr>
        <w:rFonts w:ascii="Arial" w:hAnsi="Arial" w:cs="Arial"/>
        <w:bCs/>
        <w:noProof/>
        <w:sz w:val="16"/>
      </w:rPr>
      <w:t>3</w:t>
    </w:r>
    <w:r w:rsidR="00127E8B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C0C" w:rsidRPr="003E1C0C" w:rsidRDefault="003E1C0C" w:rsidP="003E1C0C">
    <w:pPr>
      <w:jc w:val="right"/>
      <w:rPr>
        <w:rFonts w:ascii="Interleaved 2of5" w:hAnsi="Interleaved 2of5"/>
        <w:sz w:val="48"/>
      </w:rPr>
    </w:pPr>
    <w:r w:rsidRPr="003E1C0C">
      <w:rPr>
        <w:rFonts w:ascii="Interleaved 2of5" w:hAnsi="Interleaved 2of5"/>
        <w:sz w:val="48"/>
      </w:rPr>
      <w:t>(</w:t>
    </w:r>
    <w:proofErr w:type="gramStart"/>
    <w:r w:rsidRPr="003E1C0C">
      <w:rPr>
        <w:rFonts w:ascii="Interleaved 2of5" w:hAnsi="Interleaved 2of5"/>
        <w:sz w:val="48"/>
      </w:rPr>
      <w:t>4Ðíà141Q6</w:t>
    </w:r>
    <w:proofErr w:type="gramEnd"/>
    <w:r w:rsidRPr="003E1C0C">
      <w:rPr>
        <w:rFonts w:ascii="Interleaved 2of5" w:hAnsi="Interleaved 2of5"/>
        <w:sz w:val="48"/>
      </w:rPr>
      <w:t>)</w:t>
    </w:r>
  </w:p>
  <w:p w:rsidR="003E1C0C" w:rsidRDefault="003E1C0C" w:rsidP="003E1C0C">
    <w:pPr>
      <w:spacing w:before="120"/>
      <w:rPr>
        <w:rFonts w:ascii="Arial" w:hAnsi="Arial"/>
        <w:sz w:val="16"/>
      </w:rPr>
    </w:pPr>
  </w:p>
  <w:p w:rsidR="004554A7" w:rsidRDefault="003E1C0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7E8B"/>
    <w:rsid w:val="00127E8B"/>
    <w:rsid w:val="0015179D"/>
    <w:rsid w:val="00191A8C"/>
    <w:rsid w:val="002331F7"/>
    <w:rsid w:val="003E1C0C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291D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91D"/>
    <w:rPr>
      <w:rFonts w:eastAsia="Calibri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8C291D"/>
    <w:pPr>
      <w:keepNext/>
      <w:jc w:val="center"/>
      <w:outlineLvl w:val="1"/>
    </w:pPr>
    <w:rPr>
      <w:b/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127E8B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rsid w:val="00127E8B"/>
    <w:pPr>
      <w:spacing w:before="120" w:after="120"/>
      <w:ind w:firstLine="1418"/>
      <w:jc w:val="both"/>
    </w:pPr>
    <w:rPr>
      <w:rFonts w:ascii="Arial" w:eastAsia="Times New Roman" w:hAnsi="Arial"/>
      <w:sz w:val="22"/>
    </w:rPr>
  </w:style>
  <w:style w:type="paragraph" w:customStyle="1" w:styleId="centralizar">
    <w:name w:val="centralizar"/>
    <w:basedOn w:val="Pargrafo"/>
    <w:next w:val="Pargrafo"/>
    <w:rsid w:val="00127E8B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127E8B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  <w:rPr>
      <w:rFonts w:eastAsia="Times New Roman"/>
    </w:rPr>
  </w:style>
  <w:style w:type="paragraph" w:customStyle="1" w:styleId="transcrio2">
    <w:name w:val="transcrição 2"/>
    <w:basedOn w:val="Transcrio"/>
    <w:rsid w:val="00127E8B"/>
    <w:pPr>
      <w:ind w:left="2835"/>
    </w:pPr>
  </w:style>
  <w:style w:type="paragraph" w:customStyle="1" w:styleId="transcrio3">
    <w:name w:val="transcrição 3"/>
    <w:basedOn w:val="Identificao"/>
    <w:rsid w:val="00127E8B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27E8B"/>
    <w:pPr>
      <w:ind w:left="4536"/>
    </w:pPr>
  </w:style>
  <w:style w:type="paragraph" w:customStyle="1" w:styleId="assinatura">
    <w:name w:val="assinatura"/>
    <w:basedOn w:val="Pargrafo"/>
    <w:rsid w:val="00127E8B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27E8B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  <w:rPr>
      <w:rFonts w:eastAsia="Times New Roman"/>
    </w:rPr>
  </w:style>
  <w:style w:type="paragraph" w:styleId="TextosemFormatao">
    <w:name w:val="Plain Text"/>
    <w:basedOn w:val="Normal"/>
    <w:link w:val="TextosemFormataoChar"/>
    <w:uiPriority w:val="99"/>
    <w:unhideWhenUsed/>
    <w:rsid w:val="003E1C0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E1C0C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8C291D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C291D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8C291D"/>
    <w:rPr>
      <w:rFonts w:eastAsia="Calibri"/>
      <w:b/>
      <w:sz w:val="40"/>
    </w:rPr>
  </w:style>
  <w:style w:type="paragraph" w:styleId="Recuodecorpodetexto2">
    <w:name w:val="Body Text Indent 2"/>
    <w:basedOn w:val="Normal"/>
    <w:link w:val="Recuodecorpodetexto2Char"/>
    <w:rsid w:val="008C291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C291D"/>
    <w:rPr>
      <w:rFonts w:eastAsia="Calibri"/>
      <w:sz w:val="24"/>
      <w:szCs w:val="24"/>
    </w:rPr>
  </w:style>
  <w:style w:type="character" w:customStyle="1" w:styleId="ementaChar">
    <w:name w:val="ementa Char"/>
    <w:link w:val="ementa"/>
    <w:locked/>
    <w:rsid w:val="008C291D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</TotalTime>
  <Pages>3</Pages>
  <Words>1209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ba363803</cp:lastModifiedBy>
  <cp:revision>2</cp:revision>
  <cp:lastPrinted>2016-04-07T15:28:00Z</cp:lastPrinted>
  <dcterms:created xsi:type="dcterms:W3CDTF">2016-04-07T15:24:00Z</dcterms:created>
  <dcterms:modified xsi:type="dcterms:W3CDTF">2016-04-07T15:30:00Z</dcterms:modified>
</cp:coreProperties>
</file>