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072" w:rsidRDefault="00315072" w:rsidP="00B24A14">
      <w:pPr>
        <w:pStyle w:val="TextosemFormatao"/>
        <w:rPr>
          <w:rFonts w:ascii="Courier New" w:hAnsi="Courier New" w:cs="Courier New"/>
        </w:rPr>
      </w:pPr>
    </w:p>
    <w:p w:rsidR="00315072" w:rsidRPr="00D522CB" w:rsidRDefault="00315072" w:rsidP="00315072">
      <w:pPr>
        <w:pStyle w:val="Identificao"/>
      </w:pPr>
      <w:r w:rsidRPr="00D522CB">
        <w:t>APELAÇÃO CÍVEL</w:t>
      </w:r>
      <w:proofErr w:type="gramStart"/>
      <w:r w:rsidRPr="00D522CB">
        <w:t xml:space="preserve">  </w:t>
      </w:r>
      <w:proofErr w:type="gramEnd"/>
      <w:r w:rsidRPr="00D522CB">
        <w:t>0000794-17.2009.4.01.3306 (2009.33.06.000795-4)/BA</w:t>
      </w:r>
    </w:p>
    <w:p w:rsidR="00315072" w:rsidRDefault="00315072" w:rsidP="00315072">
      <w:pPr>
        <w:pStyle w:val="Identificao"/>
      </w:pPr>
      <w:r w:rsidRPr="00D522CB">
        <w:t>Processo na Origem: 7941720094013306</w:t>
      </w:r>
    </w:p>
    <w:p w:rsidR="00315072" w:rsidRPr="00D522CB" w:rsidRDefault="00315072" w:rsidP="00315072">
      <w:pPr>
        <w:pStyle w:val="Identificao"/>
      </w:pPr>
    </w:p>
    <w:p w:rsidR="005A4828" w:rsidRDefault="005A4828" w:rsidP="005A4828">
      <w:pPr>
        <w:pStyle w:val="TtuloRelatorioVotoEmenta"/>
      </w:pPr>
      <w:r>
        <w:t>RELATÓRIO</w:t>
      </w:r>
    </w:p>
    <w:p w:rsidR="005A4828" w:rsidRPr="005A4828" w:rsidRDefault="005A4828" w:rsidP="005A4828"/>
    <w:p w:rsidR="005A4828" w:rsidRDefault="005A4828" w:rsidP="005A4828">
      <w:pPr>
        <w:pStyle w:val="Pargrafo"/>
        <w:rPr>
          <w:rFonts w:eastAsia="MS Mincho"/>
          <w:szCs w:val="22"/>
        </w:rPr>
      </w:pPr>
      <w:r>
        <w:rPr>
          <w:rFonts w:eastAsia="MS Mincho"/>
          <w:szCs w:val="22"/>
        </w:rPr>
        <w:t>O EXMO SR JUIZ FEDERAL PEDRO BRAGA FILHO (RELATOR CONVOCADO):</w:t>
      </w:r>
    </w:p>
    <w:p w:rsidR="005A4828" w:rsidRDefault="005A4828" w:rsidP="005A4828">
      <w:pPr>
        <w:pStyle w:val="Corpodetexto"/>
        <w:tabs>
          <w:tab w:val="clear" w:pos="2607"/>
          <w:tab w:val="left" w:pos="2127"/>
          <w:tab w:val="left" w:pos="2694"/>
        </w:tabs>
        <w:spacing w:before="120" w:after="120" w:line="240" w:lineRule="auto"/>
        <w:ind w:firstLine="1418"/>
        <w:rPr>
          <w:rFonts w:ascii="Arial" w:hAnsi="Arial" w:cs="Arial"/>
          <w:sz w:val="22"/>
          <w:szCs w:val="22"/>
        </w:rPr>
      </w:pPr>
      <w:r>
        <w:rPr>
          <w:rFonts w:ascii="Arial" w:hAnsi="Arial" w:cs="Arial"/>
          <w:sz w:val="22"/>
          <w:szCs w:val="22"/>
        </w:rPr>
        <w:t>Trata-se de recurso de apelação interposto pela parte autora contra sentença que julgou improcedente o pedido inicial de pensão por morte sob o fundamento de que a falecida não possuía a qualidade de segurada à época do óbito</w:t>
      </w:r>
    </w:p>
    <w:p w:rsidR="005A4828" w:rsidRDefault="005A4828" w:rsidP="005A4828">
      <w:pPr>
        <w:pStyle w:val="Corpodetextomodelo"/>
        <w:tabs>
          <w:tab w:val="left" w:pos="708"/>
        </w:tabs>
        <w:spacing w:before="120" w:after="120" w:line="240" w:lineRule="auto"/>
        <w:ind w:firstLine="1418"/>
        <w:rPr>
          <w:rFonts w:ascii="Arial" w:hAnsi="Arial" w:cs="Arial"/>
          <w:sz w:val="22"/>
          <w:szCs w:val="22"/>
        </w:rPr>
      </w:pPr>
      <w:r>
        <w:rPr>
          <w:rFonts w:ascii="Arial" w:hAnsi="Arial" w:cs="Arial"/>
          <w:sz w:val="22"/>
          <w:szCs w:val="22"/>
        </w:rPr>
        <w:t xml:space="preserve">Em suas razões de apelação (fls. 90/97), a parte autora sustentou que foram preenchidos os requisitos para concessão do benefício, bem como que a falecida não perdeu a qualidade de segurada, uma vez que o último vínculo empregatício foi no período de 22/05/1996 até 25/10/1998, bem como que ficou internada no período de 07/12/1998 a 12/01/1999 com o diagnóstico de </w:t>
      </w:r>
      <w:r>
        <w:rPr>
          <w:rFonts w:ascii="Arial" w:hAnsi="Arial" w:cs="Arial"/>
          <w:i/>
          <w:sz w:val="22"/>
          <w:szCs w:val="22"/>
        </w:rPr>
        <w:t xml:space="preserve">carcinoma </w:t>
      </w:r>
      <w:proofErr w:type="spellStart"/>
      <w:r>
        <w:rPr>
          <w:rFonts w:ascii="Arial" w:hAnsi="Arial" w:cs="Arial"/>
          <w:i/>
          <w:sz w:val="22"/>
          <w:szCs w:val="22"/>
        </w:rPr>
        <w:t>ductal</w:t>
      </w:r>
      <w:proofErr w:type="spellEnd"/>
      <w:r>
        <w:rPr>
          <w:rFonts w:ascii="Arial" w:hAnsi="Arial" w:cs="Arial"/>
          <w:i/>
          <w:sz w:val="22"/>
          <w:szCs w:val="22"/>
        </w:rPr>
        <w:t xml:space="preserve"> </w:t>
      </w:r>
      <w:proofErr w:type="spellStart"/>
      <w:r>
        <w:rPr>
          <w:rFonts w:ascii="Arial" w:hAnsi="Arial" w:cs="Arial"/>
          <w:i/>
          <w:sz w:val="22"/>
          <w:szCs w:val="22"/>
        </w:rPr>
        <w:t>infiltrante</w:t>
      </w:r>
      <w:proofErr w:type="spellEnd"/>
      <w:r>
        <w:rPr>
          <w:rFonts w:ascii="Arial" w:hAnsi="Arial" w:cs="Arial"/>
          <w:sz w:val="22"/>
          <w:szCs w:val="22"/>
        </w:rPr>
        <w:t xml:space="preserve"> (neoplasia maligna) o que a tornava incapacitada para </w:t>
      </w:r>
      <w:proofErr w:type="gramStart"/>
      <w:r>
        <w:rPr>
          <w:rFonts w:ascii="Arial" w:hAnsi="Arial" w:cs="Arial"/>
          <w:sz w:val="22"/>
          <w:szCs w:val="22"/>
        </w:rPr>
        <w:t>o</w:t>
      </w:r>
      <w:proofErr w:type="gramEnd"/>
      <w:r>
        <w:rPr>
          <w:rFonts w:ascii="Arial" w:hAnsi="Arial" w:cs="Arial"/>
          <w:sz w:val="22"/>
          <w:szCs w:val="22"/>
        </w:rPr>
        <w:t xml:space="preserve"> trabalho, razão pela qual, quando a segurada faleceu estava acobertada pela Previdência Social.</w:t>
      </w:r>
    </w:p>
    <w:p w:rsidR="005A4828" w:rsidRDefault="005A4828" w:rsidP="005A4828">
      <w:pPr>
        <w:pStyle w:val="Corpodetextomodelo"/>
        <w:tabs>
          <w:tab w:val="left" w:pos="1797"/>
        </w:tabs>
        <w:spacing w:before="120" w:after="120" w:line="240" w:lineRule="auto"/>
        <w:ind w:firstLine="1418"/>
        <w:rPr>
          <w:rFonts w:ascii="Arial" w:hAnsi="Arial" w:cs="Arial"/>
          <w:sz w:val="22"/>
          <w:szCs w:val="22"/>
        </w:rPr>
      </w:pPr>
      <w:r>
        <w:rPr>
          <w:rFonts w:ascii="Arial" w:hAnsi="Arial" w:cs="Arial"/>
          <w:sz w:val="22"/>
          <w:szCs w:val="22"/>
        </w:rPr>
        <w:t>É o relatório.</w:t>
      </w:r>
    </w:p>
    <w:p w:rsidR="005A4828" w:rsidRDefault="005A4828" w:rsidP="005A4828">
      <w:pPr>
        <w:pStyle w:val="TtuloRelatorioVotoEmenta"/>
      </w:pPr>
      <w:r>
        <w:t>VOTO</w:t>
      </w:r>
    </w:p>
    <w:p w:rsidR="005A4828" w:rsidRDefault="005A4828" w:rsidP="005A4828">
      <w:pPr>
        <w:pStyle w:val="Pargrafo"/>
        <w:rPr>
          <w:rFonts w:eastAsia="MS Mincho"/>
          <w:szCs w:val="22"/>
        </w:rPr>
      </w:pPr>
      <w:r>
        <w:rPr>
          <w:rFonts w:eastAsia="MS Mincho"/>
          <w:szCs w:val="22"/>
        </w:rPr>
        <w:t>O EXMO SR JUIZ FEDERAL PEDRO BRAGA FILHO (RELATOR CONVOCADO):</w:t>
      </w:r>
    </w:p>
    <w:p w:rsidR="005A4828" w:rsidRDefault="005A4828" w:rsidP="005A4828">
      <w:pPr>
        <w:pStyle w:val="Pargrafo"/>
        <w:rPr>
          <w:rFonts w:cs="Arial"/>
        </w:rPr>
      </w:pPr>
      <w:r>
        <w:rPr>
          <w:rFonts w:cs="Arial"/>
        </w:rPr>
        <w:t>Trata-se de apelação interposta pela parte autora contra sentença que julgou improcedente seu pedido de pensão por morte de sua mãe.</w:t>
      </w:r>
    </w:p>
    <w:p w:rsidR="005A4828" w:rsidRDefault="005A4828" w:rsidP="005A4828">
      <w:pPr>
        <w:pStyle w:val="Pargrafo"/>
        <w:overflowPunct w:val="0"/>
        <w:autoSpaceDE w:val="0"/>
        <w:autoSpaceDN w:val="0"/>
        <w:adjustRightInd w:val="0"/>
        <w:textAlignment w:val="baseline"/>
        <w:rPr>
          <w:rFonts w:cs="Arial"/>
        </w:rPr>
      </w:pPr>
      <w:r>
        <w:rPr>
          <w:rFonts w:cs="Arial"/>
        </w:rPr>
        <w:t xml:space="preserve">A concessão de pensão por morte rege-se pelo princípio do </w:t>
      </w:r>
      <w:proofErr w:type="spellStart"/>
      <w:r>
        <w:rPr>
          <w:rFonts w:cs="Arial"/>
          <w:i/>
        </w:rPr>
        <w:t>tempus</w:t>
      </w:r>
      <w:proofErr w:type="spellEnd"/>
      <w:r>
        <w:rPr>
          <w:rFonts w:cs="Arial"/>
          <w:i/>
        </w:rPr>
        <w:t xml:space="preserve"> </w:t>
      </w:r>
      <w:proofErr w:type="spellStart"/>
      <w:r>
        <w:rPr>
          <w:rFonts w:cs="Arial"/>
          <w:i/>
        </w:rPr>
        <w:t>regit</w:t>
      </w:r>
      <w:proofErr w:type="spellEnd"/>
      <w:r>
        <w:rPr>
          <w:rFonts w:cs="Arial"/>
          <w:i/>
        </w:rPr>
        <w:t xml:space="preserve"> </w:t>
      </w:r>
      <w:proofErr w:type="spellStart"/>
      <w:r>
        <w:rPr>
          <w:rFonts w:cs="Arial"/>
          <w:i/>
        </w:rPr>
        <w:t>actum</w:t>
      </w:r>
      <w:proofErr w:type="spellEnd"/>
      <w:r>
        <w:rPr>
          <w:rFonts w:cs="Arial"/>
        </w:rPr>
        <w:t xml:space="preserve">, isto é, pela lei vigente na data de falecimento do instituidor, que, no caso, é </w:t>
      </w:r>
      <w:r>
        <w:rPr>
          <w:rFonts w:cs="Arial"/>
          <w:szCs w:val="22"/>
        </w:rPr>
        <w:t>05/08/2000 (fl. 14)</w:t>
      </w:r>
      <w:r>
        <w:rPr>
          <w:rFonts w:cs="Arial"/>
        </w:rPr>
        <w:t>.</w:t>
      </w:r>
    </w:p>
    <w:p w:rsidR="005A4828" w:rsidRDefault="005A4828" w:rsidP="005A4828">
      <w:pPr>
        <w:pStyle w:val="Pargrafo"/>
        <w:rPr>
          <w:rFonts w:cs="Arial"/>
        </w:rPr>
      </w:pPr>
      <w:r>
        <w:rPr>
          <w:rFonts w:cs="Arial"/>
        </w:rPr>
        <w:t xml:space="preserve">Consta nos autos que a falecida foi diagnosticada ser portadora de Carcinoma </w:t>
      </w:r>
      <w:proofErr w:type="spellStart"/>
      <w:r>
        <w:rPr>
          <w:rFonts w:cs="Arial"/>
        </w:rPr>
        <w:t>Ductal</w:t>
      </w:r>
      <w:proofErr w:type="spellEnd"/>
      <w:r>
        <w:rPr>
          <w:rFonts w:cs="Arial"/>
        </w:rPr>
        <w:t xml:space="preserve"> </w:t>
      </w:r>
      <w:proofErr w:type="spellStart"/>
      <w:r>
        <w:rPr>
          <w:rFonts w:cs="Arial"/>
        </w:rPr>
        <w:t>Infiltrante</w:t>
      </w:r>
      <w:proofErr w:type="spellEnd"/>
      <w:r>
        <w:rPr>
          <w:rFonts w:cs="Arial"/>
        </w:rPr>
        <w:t xml:space="preserve"> (neoplasia maligna, fl. 24), tendo sido submetida a procedimento cirúrgico em 04/12/98 e, conforme o prontuário médico de fl. 24, após a cirurgia deveria submeter-se a 06 (seis) ciclos de quimioterapia, com data de início em 03/02/1999, constando ainda do documento que a mesma foi a óbito em 25/08/2000.</w:t>
      </w:r>
    </w:p>
    <w:p w:rsidR="005A4828" w:rsidRDefault="005A4828" w:rsidP="005A4828">
      <w:pPr>
        <w:pStyle w:val="Pargrafo"/>
      </w:pPr>
      <w:r>
        <w:rPr>
          <w:rFonts w:cs="Arial"/>
        </w:rPr>
        <w:t xml:space="preserve">Como regra, a qualidade de segurado é mantida enquanto exista contribuição para a Previdência. No entanto, a Lei de Benefícios concede um </w:t>
      </w:r>
      <w:r>
        <w:rPr>
          <w:rFonts w:cs="Arial"/>
          <w:i/>
        </w:rPr>
        <w:t>“período de graça”</w:t>
      </w:r>
      <w:r>
        <w:rPr>
          <w:rFonts w:cs="Arial"/>
        </w:rPr>
        <w:t xml:space="preserve"> onde remanesce a qualidade de segurado, mesmo sem contribuição para a previdência, por um período de tempo (art. 15, Lei Benefícios). Dessa forma, caso ocorra algum fato gerador de benefício previdenciário durante o período de graça, ainda que se requeira o benefício posteriormente, este deverá ser concedido.</w:t>
      </w:r>
    </w:p>
    <w:p w:rsidR="005A4828" w:rsidRDefault="005A4828" w:rsidP="005A4828">
      <w:pPr>
        <w:pStyle w:val="Transcrio"/>
      </w:pPr>
      <w:r>
        <w:t>Art. 15. Mantém a qualidade de segurado, independentemente de contribuições:</w:t>
      </w:r>
    </w:p>
    <w:p w:rsidR="005A4828" w:rsidRDefault="005A4828" w:rsidP="005A4828">
      <w:pPr>
        <w:pStyle w:val="Transcrio"/>
      </w:pPr>
      <w:r>
        <w:t>I - sem limite de prazo, quem está em gozo de benefício;</w:t>
      </w:r>
    </w:p>
    <w:p w:rsidR="005A4828" w:rsidRDefault="005A4828" w:rsidP="005A4828">
      <w:pPr>
        <w:pStyle w:val="Transcrio"/>
      </w:pPr>
      <w:r>
        <w:t>II - até 12 (doze) meses após a cessação das contribuições, o segurado que deixar de exercer atividade remunerada abrangida pela Previdência Social ou estiver suspenso ou licenciado sem remuneração;</w:t>
      </w:r>
    </w:p>
    <w:p w:rsidR="005A4828" w:rsidRDefault="005A4828" w:rsidP="005A4828">
      <w:pPr>
        <w:pStyle w:val="Transcrio"/>
      </w:pPr>
      <w:r>
        <w:lastRenderedPageBreak/>
        <w:t>III - até 12 (doze) meses após cessar a segregação, o segurado acometido de doença de segregação compulsória;</w:t>
      </w:r>
    </w:p>
    <w:p w:rsidR="005A4828" w:rsidRDefault="005A4828" w:rsidP="005A4828">
      <w:pPr>
        <w:pStyle w:val="Transcrio"/>
      </w:pPr>
      <w:r>
        <w:t>IV - até 12 (doze) meses após o livramento, o segurado retido ou recluso;</w:t>
      </w:r>
    </w:p>
    <w:p w:rsidR="005A4828" w:rsidRDefault="005A4828" w:rsidP="005A4828">
      <w:pPr>
        <w:pStyle w:val="Transcrio"/>
      </w:pPr>
      <w:r>
        <w:t xml:space="preserve">V - até </w:t>
      </w:r>
      <w:proofErr w:type="gramStart"/>
      <w:r>
        <w:t>3</w:t>
      </w:r>
      <w:proofErr w:type="gramEnd"/>
      <w:r>
        <w:t xml:space="preserve"> (três) meses após o licenciamento, o segurado incorporado às Forças Armadas para prestar serviço militar; </w:t>
      </w:r>
    </w:p>
    <w:p w:rsidR="005A4828" w:rsidRDefault="005A4828" w:rsidP="005A4828">
      <w:pPr>
        <w:pStyle w:val="Transcrio"/>
      </w:pPr>
      <w:r>
        <w:t xml:space="preserve">VI - até </w:t>
      </w:r>
      <w:proofErr w:type="gramStart"/>
      <w:r>
        <w:t>6</w:t>
      </w:r>
      <w:proofErr w:type="gramEnd"/>
      <w:r>
        <w:t xml:space="preserve"> (seis) meses após a cessação das contribuições, o segurado facultativo.</w:t>
      </w:r>
    </w:p>
    <w:p w:rsidR="005A4828" w:rsidRDefault="005A4828" w:rsidP="005A4828">
      <w:pPr>
        <w:pStyle w:val="Transcrio"/>
      </w:pPr>
      <w:r>
        <w:t xml:space="preserve">§ 1º O prazo do inciso II será prorrogado para até 24 (vinte e quatro) meses se o segurado já </w:t>
      </w:r>
      <w:proofErr w:type="gramStart"/>
      <w:r>
        <w:t>tiver pago</w:t>
      </w:r>
      <w:proofErr w:type="gramEnd"/>
      <w:r>
        <w:t xml:space="preserve"> mais de 120 (cento e vinte) contribuições mensais sem interrupção que acarrete a perda da qualidade de segurado.</w:t>
      </w:r>
    </w:p>
    <w:p w:rsidR="005A4828" w:rsidRDefault="005A4828" w:rsidP="005A4828">
      <w:pPr>
        <w:pStyle w:val="Transcrio"/>
      </w:pPr>
      <w:r>
        <w:t>§ 2º Os prazos do inciso II ou do § 1º serão acrescidos de 12 (doze) meses para o segurado desempregado, desde que comprovada essa situação pelo registro no órgão próprio do Ministério do Trabalho e da Previdência Social.</w:t>
      </w:r>
    </w:p>
    <w:p w:rsidR="005A4828" w:rsidRDefault="005A4828" w:rsidP="005A4828">
      <w:pPr>
        <w:pStyle w:val="Transcrio"/>
      </w:pPr>
      <w:r>
        <w:t>§ 3º Durante os prazos deste artigo, o segurado conserva todos os seus direitos perante a Previdência Social.</w:t>
      </w:r>
    </w:p>
    <w:p w:rsidR="005A4828" w:rsidRDefault="005A4828" w:rsidP="005A4828">
      <w:pPr>
        <w:pStyle w:val="Transcrio"/>
      </w:pPr>
      <w:r>
        <w:t>§ 4º A perda da qualidade de segurado ocorrerá no dia seguinte ao do término do prazo fixado no Plano de Custeio da Seguridade Social para recolhimento da contribuição referente ao mês imediatamente posterior ao do final dos prazos fixados neste artigo e seus parágrafos.</w:t>
      </w:r>
    </w:p>
    <w:p w:rsidR="005A4828" w:rsidRDefault="005A4828" w:rsidP="005A4828">
      <w:pPr>
        <w:pStyle w:val="Identificao"/>
        <w:ind w:firstLine="1440"/>
      </w:pPr>
    </w:p>
    <w:p w:rsidR="005A4828" w:rsidRDefault="005A4828" w:rsidP="005A4828">
      <w:pPr>
        <w:pStyle w:val="Identificao"/>
        <w:ind w:firstLine="1440"/>
      </w:pPr>
      <w:r>
        <w:t>O só fato de constar na certidão de óbito a causa da morte como ignorada, não pode ser causa para o indeferimento do benefício, uma vez que a segurada faleceu em sua residência, sem assistência médica. Entretanto, é notório que a neoplasia maligna, que no caso da esposa do autor é o câncer de mama, é doença com alto índice de mortalidade feminina e de acordo com o prontuário, a falecida não se submeteu às sessões de quimioterapia, restando, claro, dessa forma, que houve o agravamento da patologia que a levou a óbito em 05/08/2000.</w:t>
      </w:r>
    </w:p>
    <w:p w:rsidR="005A4828" w:rsidRDefault="005A4828" w:rsidP="005A4828">
      <w:pPr>
        <w:pStyle w:val="Identificao"/>
        <w:ind w:firstLine="1440"/>
      </w:pPr>
      <w:r>
        <w:t xml:space="preserve">Cabe observar que, a mesma fazia jus ao recebimento do auxílio-doença e/ou a aposentadoria por invalidez, pois seu último vínculo empregatício foi extinto em 28/10/98 (fl. 18) e em dezembro daquele mesmo ano a segurada já estava com o diagnóstico do câncer (fl. 20). </w:t>
      </w:r>
    </w:p>
    <w:p w:rsidR="005A4828" w:rsidRDefault="005A4828" w:rsidP="005A4828">
      <w:pPr>
        <w:pStyle w:val="Identificao"/>
        <w:ind w:firstLine="1440"/>
      </w:pPr>
      <w:r>
        <w:t xml:space="preserve">Observando as peculiaridades acima descritas, não se mostra razoável nem plausível admitir-se a perda da qualidade de segurado no caso em questão, uma vez que a falecida </w:t>
      </w:r>
      <w:proofErr w:type="gramStart"/>
      <w:r>
        <w:t>a</w:t>
      </w:r>
      <w:proofErr w:type="gramEnd"/>
      <w:r>
        <w:t xml:space="preserve"> doença até a data do óbito sem o auxílio previdenciário a que tinha direito. </w:t>
      </w:r>
    </w:p>
    <w:p w:rsidR="005A4828" w:rsidRDefault="005A4828" w:rsidP="005A4828">
      <w:pPr>
        <w:pStyle w:val="Pargrafo"/>
      </w:pPr>
      <w:r>
        <w:t>Nesse sentido é a jurisprudência:</w:t>
      </w:r>
    </w:p>
    <w:p w:rsidR="005A4828" w:rsidRDefault="005A4828" w:rsidP="005A4828">
      <w:pPr>
        <w:pStyle w:val="Transcrio"/>
      </w:pPr>
      <w:r>
        <w:t xml:space="preserve">RECURSO ESPECIAL. PREVIDENCIÁRIO. NÃO RECOLHIMENTO DE CONTRIBUIÇÕES EM RAZÃO DE INCAPACIDADE PARA O TRABALHO. PERDA DA QUALIDADE DE SEGURADO. INOCORRÊNCIA. MATÉRIA PACIFICADA. </w:t>
      </w:r>
      <w:smartTag w:uri="urn:schemas-microsoft-com:office:smarttags" w:element="metricconverter">
        <w:smartTagPr>
          <w:attr w:name="ProductID" w:val="1. A"/>
        </w:smartTagPr>
        <w:r>
          <w:t>1. A</w:t>
        </w:r>
      </w:smartTag>
      <w:r>
        <w:t xml:space="preserve"> Egrégia 3ª Seção desta Corte Superior de Justiça firmou já entendimento no sentido de que o trabalhador que deixa de contribuir para a Previdência Social por período superior a doze meses, em razão de estar incapacitado para o trabalho, não perde a qualidade de segurado. 2. "A pretensão de simples reexame de prova não enseja recurso especial." (Súmula do STJ, Enunciado nº 7). 3. Recurso especial </w:t>
      </w:r>
      <w:proofErr w:type="spellStart"/>
      <w:r>
        <w:t>improvido</w:t>
      </w:r>
      <w:proofErr w:type="spellEnd"/>
      <w:r>
        <w:t xml:space="preserve">. (RESP 200300780839, HAMILTON CARVALHIDO, STJ - SEXTA TURMA, DJ </w:t>
      </w:r>
      <w:proofErr w:type="gramStart"/>
      <w:r>
        <w:t>DATA:</w:t>
      </w:r>
      <w:proofErr w:type="gramEnd"/>
      <w:r>
        <w:t>24/05/2004 PG:00353 ..DTPB:.)</w:t>
      </w:r>
    </w:p>
    <w:p w:rsidR="005A4828" w:rsidRDefault="005A4828" w:rsidP="005A4828">
      <w:pPr>
        <w:pStyle w:val="Transcrio"/>
      </w:pPr>
    </w:p>
    <w:p w:rsidR="005A4828" w:rsidRDefault="005A4828" w:rsidP="005A4828">
      <w:pPr>
        <w:pStyle w:val="Transcrio"/>
      </w:pPr>
      <w:r>
        <w:t xml:space="preserve">APELAÇÃO CIVEL. PREVIDENCIÁRIO. PROCESSUAL CIVIL. APOSENTADORIA POR INVALIDEZ. INCAPACIDADE PERMANENTE PARA O TRABALHO. QUALIDADE DE SEGURADO. CUMPRIMENTO DA CARÊNCIA. REQUISITOS PRESENTES. PROCEDÊNCIA. TERMO INICIAL. ANTECIPAÇÃO DA TUTELA. JUROS DE MORA. HONORÁRIOS </w:t>
      </w:r>
      <w:r>
        <w:lastRenderedPageBreak/>
        <w:t xml:space="preserve">ADVOCATÍCIOS. 1. Comprovada a incapacidade da parte autora para o exercício de sua atividade habitual, bem como demonstrada a qualidade de segurada, a concessão do pleiteada aposentadoria por invalidez é medida que se impõe, ao amparo da legislação de regência, devendo ser o seu termo inicial a data do requerimento administrativo (24.1.2003), uma vez que, àquela ocasião, já estava incapacitado para o trabalho, a teor do que se depreende dos autos. 2. Encontra-se pacificado entendimento que afasta a perda da qualidade de segurado quando, em razão da própria doença incapacitante, não ocorrem contribuições em prazo superior a doze meses (STJ, (AGRESP 866116/SP, Hamilton </w:t>
      </w:r>
      <w:proofErr w:type="spellStart"/>
      <w:r>
        <w:t>Carvalhido</w:t>
      </w:r>
      <w:proofErr w:type="spellEnd"/>
      <w:r>
        <w:t xml:space="preserve">, Sexta Turma, </w:t>
      </w:r>
      <w:proofErr w:type="spellStart"/>
      <w:r>
        <w:t>e-DJ</w:t>
      </w:r>
      <w:proofErr w:type="spellEnd"/>
      <w:r>
        <w:t xml:space="preserve"> de </w:t>
      </w:r>
      <w:proofErr w:type="gramStart"/>
      <w:r>
        <w:t>1º.</w:t>
      </w:r>
      <w:proofErr w:type="gramEnd"/>
      <w:r>
        <w:t xml:space="preserve">9.2008). </w:t>
      </w:r>
      <w:smartTag w:uri="urn:schemas-microsoft-com:office:smarttags" w:element="metricconverter">
        <w:smartTagPr>
          <w:attr w:name="ProductID" w:val="3. A"/>
        </w:smartTagPr>
        <w:r>
          <w:t>3. A</w:t>
        </w:r>
      </w:smartTag>
      <w:r>
        <w:t xml:space="preserve"> revisão administrativa do benefício está amparada pela Lei n. 8.212/91, a qual prevê que (art. 71, caput) o Instituto Nacional do Seguro Social deverá rever os benefícios, ainda que concedidos judicialmente, para avaliar a persistência, a atenuação ou o agravamento da incapacidade para o trabalho alegada como causa para a sua concessão. 4. Em casos como o da espécie, a Lei 8.213/91 é expressa em determinar (art. 101) que o segurado se submeta aos procedimentos periódicos a cargo da Previdência Social ? exame médico, tratamento e processo de reabilitação profissional ?, sob pena de suspensão do benefício. 5. Os juros moratórios e a correção monetária incidentes sobre as parcelas atrasadas devem observar as orientações do Manual de Cálculos da Justiça Federal, aprovado pela Resolução/CJF 134, de 21.12.2010. 6. Apelação a que se dá parcial provimento para determinar: (I) que a atualização das parcelas atrasadas observe as disposições do Manual de Cálculos da Justiça Federal, aprovado pela Resolução/CJF 134, de 21.12.2010; e (II) que deve o autor se submeter à revisão periódica (art. 71, caput, da Lei 8.212/91), bem como aos procedimentos descritos no art. 101 da Lei 8.213/91, sob pena de suspensão do benefício.</w:t>
      </w:r>
    </w:p>
    <w:p w:rsidR="005A4828" w:rsidRDefault="005A4828" w:rsidP="005A4828">
      <w:pPr>
        <w:pStyle w:val="Transcrio"/>
      </w:pPr>
      <w:r>
        <w:t xml:space="preserve">(AC 200638120040736, DESEMBARGADOR FEDERAL KASSIO NUNES MARQUES, TRF1 - PRIMEIRA TURMA, e-DJF1 </w:t>
      </w:r>
      <w:proofErr w:type="gramStart"/>
      <w:r>
        <w:t>DATA:</w:t>
      </w:r>
      <w:proofErr w:type="gramEnd"/>
      <w:r>
        <w:t>25/01/2013 PAGINA:460.)</w:t>
      </w:r>
    </w:p>
    <w:p w:rsidR="005A4828" w:rsidRDefault="005A4828" w:rsidP="005A4828">
      <w:pPr>
        <w:pStyle w:val="Transcrio"/>
      </w:pPr>
    </w:p>
    <w:p w:rsidR="005A4828" w:rsidRDefault="005A4828" w:rsidP="005A4828">
      <w:pPr>
        <w:pStyle w:val="Transcrio"/>
      </w:pPr>
      <w:r>
        <w:t xml:space="preserve">PREVIDENCIÁRIO. RESTABELECIMENTO DE AUXÍLIO-DOENÇA E CONVERSÃO EM APOSENTADORIA POR INVALIDEZ. INCAPACIDADE LABORAL CONSTATADA POR PROVA PERICIAL, QUANDO O AUTOR OSTENTAVA A QUALIDADE DE SEGURADO DA PREVIDÊNCIA SOCIAL. PREENCHIMENTO DA CARÊNCIA DEFINIDA EM LEI. TERMO INICIAL. JUROS DE MORA. CORREÇÃO MONETÁRIA. HONORÁRIOS ADVOCATÍCIOS. ANTECIPAÇÃO DA TUTELA. REQUISITOS PREENCHIDOS. </w:t>
      </w:r>
      <w:proofErr w:type="gramStart"/>
      <w:r>
        <w:t>1.</w:t>
      </w:r>
      <w:proofErr w:type="gramEnd"/>
      <w:r>
        <w:t>A antecipação de tutela é concedida quando, existindo prova inequívoca, se convença o Juiz da verossimilhança da alegação e ocorrer fundado receio de dano irreparável ou de difícil reparação ou ficar caracterizado abuso do direito de defesa ou manifesto propósito protelatório do réu (art. 273, I e II, do CPC), impondo-se sua confirmação. 2. Comprovada a qualidade de segurado do autor, bem como a sua incapacidade para o trabalho através do laudo pericial (fls. 154/155), enquanto ostentava a qualidade de segurado da Previdência Social, ele faz jus ao benefício de aposentadoria por invalidez. 3. Segundo a jurisprudência do STJ, "não ocorre a perda da qualidade de segurado, quando a falta de recolhimento da contribuição previdenciária por mais de doze meses consecutivos, decorre de incapacidade para o trabalho" (</w:t>
      </w:r>
      <w:proofErr w:type="spellStart"/>
      <w:proofErr w:type="gramStart"/>
      <w:r>
        <w:t>REsp</w:t>
      </w:r>
      <w:proofErr w:type="spellEnd"/>
      <w:proofErr w:type="gramEnd"/>
      <w:r>
        <w:t xml:space="preserve"> nº 310.264/SP, Rel. Min. Fernando Gonçalves, 6ª Turma, DJ 18.2.2002, pág. 530). 4. O termo inicial do benefício de auxílio-doença deve ser fixado a partir do requerimento administrativo, convertendo-se em aposentadoria por invalidez a partir do laudo pericial. </w:t>
      </w:r>
      <w:smartTag w:uri="urn:schemas-microsoft-com:office:smarttags" w:element="metricconverter">
        <w:smartTagPr>
          <w:attr w:name="ProductID" w:val="5. A"/>
        </w:smartTagPr>
        <w:r>
          <w:t>5. A</w:t>
        </w:r>
      </w:smartTag>
      <w:r>
        <w:t xml:space="preserve"> correção monetária e os juros </w:t>
      </w:r>
      <w:r>
        <w:lastRenderedPageBreak/>
        <w:t xml:space="preserve">devem incidir na forma do Manual de Cálculos da Justiça Federal, aprovado pela Resolução/CJF 134, de 21.12.2010. </w:t>
      </w:r>
      <w:smartTag w:uri="urn:schemas-microsoft-com:office:smarttags" w:element="metricconverter">
        <w:smartTagPr>
          <w:attr w:name="ProductID" w:val="6. A"/>
        </w:smartTagPr>
        <w:r>
          <w:t>6. A</w:t>
        </w:r>
      </w:smartTag>
      <w:r>
        <w:t xml:space="preserve"> verba honorária está em conformidade com o artigo 20, § 4o, do CPC. 7. Apelação a que se nega provimento e remessa oficial, a que se dá parcial provimento.</w:t>
      </w:r>
    </w:p>
    <w:p w:rsidR="005A4828" w:rsidRDefault="005A4828" w:rsidP="005A4828">
      <w:pPr>
        <w:pStyle w:val="Transcrio"/>
      </w:pPr>
      <w:r>
        <w:t xml:space="preserve">(AC 200438030061171, DESEMBARGADORA FEDERAL ÂNGELA CATÃO, TRF1 - PRIMEIRA TURMA, e-DJF1 </w:t>
      </w:r>
      <w:proofErr w:type="gramStart"/>
      <w:r>
        <w:t>DATA:</w:t>
      </w:r>
      <w:proofErr w:type="gramEnd"/>
      <w:r>
        <w:t>31/10/2012 PAGINA:685.)</w:t>
      </w:r>
    </w:p>
    <w:p w:rsidR="005A4828" w:rsidRDefault="005A4828" w:rsidP="005A4828">
      <w:pPr>
        <w:pStyle w:val="Corpodetextomodelo"/>
        <w:tabs>
          <w:tab w:val="left" w:pos="1797"/>
        </w:tabs>
        <w:spacing w:line="240" w:lineRule="auto"/>
        <w:ind w:firstLine="1418"/>
        <w:rPr>
          <w:rFonts w:ascii="Arial" w:hAnsi="Arial" w:cs="Arial"/>
          <w:sz w:val="22"/>
          <w:szCs w:val="22"/>
        </w:rPr>
      </w:pPr>
      <w:r>
        <w:rPr>
          <w:rFonts w:ascii="Arial" w:hAnsi="Arial" w:cs="Arial"/>
          <w:sz w:val="22"/>
          <w:szCs w:val="22"/>
        </w:rPr>
        <w:t xml:space="preserve">Comprovada a qualidade de segurada da falecida, a sentença deve ser reformada, para deferimento do benefício da pensão por morte, a que faz jus o autor. </w:t>
      </w:r>
    </w:p>
    <w:p w:rsidR="005A4828" w:rsidRDefault="005A4828" w:rsidP="005A4828">
      <w:pPr>
        <w:pStyle w:val="Pargrafo"/>
        <w:overflowPunct w:val="0"/>
        <w:autoSpaceDE w:val="0"/>
        <w:autoSpaceDN w:val="0"/>
        <w:adjustRightInd w:val="0"/>
        <w:textAlignment w:val="baseline"/>
        <w:rPr>
          <w:rFonts w:cs="Arial"/>
        </w:rPr>
      </w:pPr>
      <w:r>
        <w:rPr>
          <w:rFonts w:cs="Arial"/>
        </w:rPr>
        <w:t>9. Prevê a Lei nº 8.213/91, na redação do artigo 16, I:</w:t>
      </w:r>
    </w:p>
    <w:p w:rsidR="005A4828" w:rsidRDefault="005A4828" w:rsidP="005A4828">
      <w:pPr>
        <w:pStyle w:val="Transcrio"/>
        <w:spacing w:before="0" w:after="0"/>
        <w:rPr>
          <w:szCs w:val="22"/>
        </w:rPr>
      </w:pPr>
      <w:r>
        <w:rPr>
          <w:szCs w:val="22"/>
        </w:rPr>
        <w:t>Art. 16. São beneficiários do Regime Geral de Previdência Social, na condição de dependentes do segurado:</w:t>
      </w:r>
    </w:p>
    <w:p w:rsidR="005A4828" w:rsidRDefault="005A4828" w:rsidP="005A4828">
      <w:pPr>
        <w:pStyle w:val="Transcrio"/>
        <w:spacing w:before="0" w:after="0"/>
        <w:rPr>
          <w:szCs w:val="22"/>
        </w:rPr>
      </w:pPr>
      <w:bookmarkStart w:id="0" w:name="art16i"/>
      <w:bookmarkEnd w:id="0"/>
      <w:r>
        <w:rPr>
          <w:szCs w:val="22"/>
        </w:rPr>
        <w:t>I - o cônjuge, a companheira, o companheiro e o filho não emancipado, de qualquer condição, menor de 21 (vinte e um) anos ou inválido;</w:t>
      </w:r>
    </w:p>
    <w:p w:rsidR="005A4828" w:rsidRDefault="005A4828" w:rsidP="005A4828">
      <w:pPr>
        <w:pStyle w:val="Transcrio"/>
        <w:spacing w:before="0" w:after="0"/>
        <w:rPr>
          <w:szCs w:val="22"/>
        </w:rPr>
      </w:pPr>
      <w:r>
        <w:rPr>
          <w:szCs w:val="22"/>
        </w:rPr>
        <w:t>II - os pais;</w:t>
      </w:r>
    </w:p>
    <w:p w:rsidR="005A4828" w:rsidRDefault="005A4828" w:rsidP="005A4828">
      <w:pPr>
        <w:pStyle w:val="Transcrio"/>
        <w:spacing w:before="0" w:after="0"/>
        <w:rPr>
          <w:szCs w:val="22"/>
        </w:rPr>
      </w:pPr>
      <w:bookmarkStart w:id="1" w:name="art16iii"/>
      <w:bookmarkEnd w:id="1"/>
      <w:r>
        <w:rPr>
          <w:szCs w:val="22"/>
        </w:rPr>
        <w:t>III - o irmão não emancipado, de qualquer condição, menor de 21 (vinte e um) anos ou inválido;</w:t>
      </w:r>
    </w:p>
    <w:p w:rsidR="005A4828" w:rsidRDefault="005A4828" w:rsidP="005A4828">
      <w:pPr>
        <w:pStyle w:val="Transcrio"/>
        <w:spacing w:before="0" w:after="0"/>
        <w:rPr>
          <w:szCs w:val="22"/>
        </w:rPr>
      </w:pPr>
      <w:r>
        <w:rPr>
          <w:szCs w:val="22"/>
        </w:rPr>
        <w:t>§ 1º A existência de dependente de qualquer das classes deste artigo exclui do direito às prestações os das classes seguintes.</w:t>
      </w:r>
    </w:p>
    <w:p w:rsidR="005A4828" w:rsidRDefault="005A4828" w:rsidP="005A4828">
      <w:pPr>
        <w:pStyle w:val="Transcrio"/>
        <w:spacing w:before="0" w:after="0"/>
        <w:rPr>
          <w:szCs w:val="22"/>
        </w:rPr>
      </w:pPr>
      <w:bookmarkStart w:id="2" w:name="art16§2"/>
      <w:bookmarkEnd w:id="2"/>
      <w:r>
        <w:rPr>
          <w:szCs w:val="22"/>
        </w:rPr>
        <w:t xml:space="preserve">§ </w:t>
      </w:r>
      <w:proofErr w:type="gramStart"/>
      <w:r>
        <w:rPr>
          <w:szCs w:val="22"/>
        </w:rPr>
        <w:t>2º .</w:t>
      </w:r>
      <w:proofErr w:type="gramEnd"/>
      <w:r>
        <w:rPr>
          <w:szCs w:val="22"/>
        </w:rPr>
        <w:t>O enteado e o menor tutelado equiparam-se a filho mediante declaração do segurado e desde que comprovada a dependência econômica na forma estabelecida no Regulamento.</w:t>
      </w:r>
    </w:p>
    <w:p w:rsidR="005A4828" w:rsidRDefault="005A4828" w:rsidP="005A4828">
      <w:pPr>
        <w:pStyle w:val="Transcrio"/>
        <w:spacing w:before="0" w:after="0"/>
        <w:rPr>
          <w:szCs w:val="22"/>
        </w:rPr>
      </w:pPr>
      <w:r>
        <w:rPr>
          <w:szCs w:val="22"/>
        </w:rPr>
        <w:t xml:space="preserve">§ 3º Considera-se companheira ou companheiro a pessoa que, sem ser casada, mantém união estável com o segurado ou com a segurada, de acordo com o </w:t>
      </w:r>
      <w:hyperlink r:id="rId7" w:anchor="art226§3" w:history="1">
        <w:r>
          <w:rPr>
            <w:rStyle w:val="Hyperlink"/>
            <w:szCs w:val="22"/>
          </w:rPr>
          <w:t xml:space="preserve">§ 3º do art. 226 da Constituição </w:t>
        </w:r>
        <w:proofErr w:type="gramStart"/>
        <w:r>
          <w:rPr>
            <w:rStyle w:val="Hyperlink"/>
            <w:szCs w:val="22"/>
          </w:rPr>
          <w:t>Federal.</w:t>
        </w:r>
        <w:proofErr w:type="gramEnd"/>
      </w:hyperlink>
    </w:p>
    <w:p w:rsidR="005A4828" w:rsidRDefault="005A4828" w:rsidP="005A4828">
      <w:pPr>
        <w:pStyle w:val="Transcrio"/>
        <w:spacing w:before="0" w:after="0"/>
        <w:rPr>
          <w:szCs w:val="22"/>
        </w:rPr>
      </w:pPr>
      <w:r>
        <w:rPr>
          <w:szCs w:val="22"/>
        </w:rPr>
        <w:t>§ 4º A dependência econômica das pessoas indicadas no inciso I é presumida e a das demais deve ser comprovada.</w:t>
      </w:r>
    </w:p>
    <w:p w:rsidR="005A4828" w:rsidRDefault="005A4828" w:rsidP="005A4828">
      <w:pPr>
        <w:spacing w:before="120" w:after="120"/>
        <w:ind w:firstLine="1418"/>
        <w:jc w:val="both"/>
        <w:rPr>
          <w:rFonts w:ascii="Arial" w:hAnsi="Arial" w:cs="Arial"/>
          <w:sz w:val="22"/>
          <w:szCs w:val="22"/>
        </w:rPr>
      </w:pPr>
      <w:r>
        <w:rPr>
          <w:rFonts w:ascii="Arial" w:hAnsi="Arial" w:cs="Arial"/>
          <w:sz w:val="22"/>
          <w:szCs w:val="22"/>
        </w:rPr>
        <w:t xml:space="preserve">O autor era casado com a falecida, conforme certidão de casamento juntada à fl. 13 e, como tal, a dependência econômica é presumida. </w:t>
      </w:r>
    </w:p>
    <w:p w:rsidR="005A4828" w:rsidRDefault="005A4828" w:rsidP="005A4828">
      <w:pPr>
        <w:pStyle w:val="Pargrafo"/>
        <w:rPr>
          <w:szCs w:val="22"/>
        </w:rPr>
      </w:pPr>
      <w:r>
        <w:rPr>
          <w:rFonts w:cs="Arial"/>
          <w:szCs w:val="22"/>
        </w:rPr>
        <w:t xml:space="preserve">Quanto à data inicial do benefício, de acordo com a Lei nº 8.213/91, a pensão será devida a partir da data do requerimento administrativo (13/08/2001), pois requerida em período superior a trinta dias do óbito (fl. 27). </w:t>
      </w:r>
    </w:p>
    <w:p w:rsidR="005A4828" w:rsidRDefault="005A4828" w:rsidP="005A4828">
      <w:pPr>
        <w:pStyle w:val="Pargrafo"/>
        <w:rPr>
          <w:rFonts w:cs="Arial"/>
          <w:szCs w:val="22"/>
        </w:rPr>
      </w:pPr>
      <w:r>
        <w:rPr>
          <w:rFonts w:cs="Arial"/>
          <w:szCs w:val="22"/>
        </w:rPr>
        <w:t>A correção monetária incide sobre o débito previdenciário, a partir do vencimento de cada prestação, conforme Manual de Orientação de Procedimentos para os Cálculos na Justiça Federal.</w:t>
      </w:r>
    </w:p>
    <w:p w:rsidR="005A4828" w:rsidRDefault="005A4828" w:rsidP="005A4828">
      <w:pPr>
        <w:pStyle w:val="Pargrafo"/>
        <w:rPr>
          <w:rFonts w:cs="Arial"/>
          <w:szCs w:val="22"/>
        </w:rPr>
      </w:pPr>
      <w:r>
        <w:rPr>
          <w:rFonts w:cs="Arial"/>
          <w:szCs w:val="22"/>
        </w:rPr>
        <w:t xml:space="preserve">Os juros de mora são devidos a partir da citação, em relação às parcelas a ela anteriores e desde cada vencimento, quanto às </w:t>
      </w:r>
      <w:proofErr w:type="spellStart"/>
      <w:r>
        <w:rPr>
          <w:rFonts w:cs="Arial"/>
          <w:szCs w:val="22"/>
        </w:rPr>
        <w:t>subsequentes</w:t>
      </w:r>
      <w:proofErr w:type="spellEnd"/>
      <w:r>
        <w:rPr>
          <w:rFonts w:cs="Arial"/>
          <w:szCs w:val="22"/>
        </w:rPr>
        <w:t>, no percentual de 1% ao mês até a entrada em vigor da Lei nº 11.960/2009, a partir de quando será aplicado o índice da caderneta de poupança nos termos do art. 1º-F da Lei nº 9.494/97, na redação dada pela Lei nº 11.960/2009, conforme Manual de Orientação de Procedimentos para os Cálculos na Justiça Federal.</w:t>
      </w:r>
    </w:p>
    <w:p w:rsidR="005A4828" w:rsidRDefault="005A4828" w:rsidP="005A4828">
      <w:pPr>
        <w:pStyle w:val="Pargrafo"/>
        <w:widowControl w:val="0"/>
        <w:spacing w:before="0" w:after="0"/>
        <w:rPr>
          <w:rFonts w:cs="Arial"/>
          <w:szCs w:val="22"/>
        </w:rPr>
      </w:pPr>
      <w:r>
        <w:rPr>
          <w:rFonts w:cs="Arial"/>
          <w:szCs w:val="22"/>
        </w:rPr>
        <w:t>Quanto ao adiantamento da prestação jurisdicional, relativamente à obrigação de fazer, presentes os requisitos legais do art. 273 do CPC, em razão da concessão do benefício e da sua natureza alimentar, fica concedida esta providência.</w:t>
      </w:r>
    </w:p>
    <w:p w:rsidR="00AA41B6" w:rsidRDefault="00AA41B6" w:rsidP="005A4828">
      <w:pPr>
        <w:pStyle w:val="Pargrafo"/>
        <w:widowControl w:val="0"/>
        <w:spacing w:before="0" w:after="0"/>
        <w:rPr>
          <w:rFonts w:cs="Arial"/>
          <w:szCs w:val="22"/>
        </w:rPr>
      </w:pPr>
    </w:p>
    <w:p w:rsidR="005A4828" w:rsidRDefault="005A4828" w:rsidP="005A4828">
      <w:pPr>
        <w:pStyle w:val="Pargrafo"/>
        <w:widowControl w:val="0"/>
        <w:spacing w:before="0" w:after="0"/>
        <w:rPr>
          <w:rFonts w:cs="Arial"/>
          <w:szCs w:val="22"/>
        </w:rPr>
      </w:pPr>
      <w:r>
        <w:rPr>
          <w:rFonts w:cs="Arial"/>
          <w:szCs w:val="22"/>
        </w:rPr>
        <w:t>Assim, deve o INSS implantar o benefício previdenciário no prazo de 30 dias contados de sua intimação do presente comando.</w:t>
      </w:r>
    </w:p>
    <w:p w:rsidR="00AA41B6" w:rsidRDefault="00AA41B6" w:rsidP="005A4828">
      <w:pPr>
        <w:pStyle w:val="Pargrafo"/>
        <w:widowControl w:val="0"/>
        <w:spacing w:before="0" w:after="0"/>
        <w:rPr>
          <w:rFonts w:cs="Arial"/>
          <w:szCs w:val="22"/>
        </w:rPr>
      </w:pPr>
    </w:p>
    <w:p w:rsidR="005A4828" w:rsidRDefault="005A4828" w:rsidP="005A4828">
      <w:pPr>
        <w:pStyle w:val="Pargrafo"/>
        <w:widowControl w:val="0"/>
        <w:spacing w:before="0" w:after="0"/>
        <w:rPr>
          <w:rFonts w:cs="Arial"/>
          <w:szCs w:val="22"/>
        </w:rPr>
      </w:pPr>
      <w:r>
        <w:rPr>
          <w:rFonts w:cs="Arial"/>
          <w:szCs w:val="22"/>
        </w:rPr>
        <w:t>Ante o exposto, dou provime</w:t>
      </w:r>
      <w:r w:rsidR="00B24A14">
        <w:rPr>
          <w:rFonts w:cs="Arial"/>
          <w:szCs w:val="22"/>
        </w:rPr>
        <w:t>nto à apelação da parte autora para condenar o INSS a conceder o benefício de pensão por morte desde o requerimento administrativo (13/08/2001), com pagamento das parcelas atrasadas, observada a prescrição qüinq</w:t>
      </w:r>
      <w:r w:rsidR="00586B0C">
        <w:rPr>
          <w:rFonts w:cs="Arial"/>
          <w:szCs w:val="22"/>
        </w:rPr>
        <w:t>üenal (Súmula 85 STJ), corrigida</w:t>
      </w:r>
      <w:r w:rsidR="00B24A14">
        <w:rPr>
          <w:rFonts w:cs="Arial"/>
          <w:szCs w:val="22"/>
        </w:rPr>
        <w:t>s monetariamente a acres</w:t>
      </w:r>
      <w:r w:rsidR="00AA41B6">
        <w:rPr>
          <w:rFonts w:cs="Arial"/>
          <w:szCs w:val="22"/>
        </w:rPr>
        <w:t>c</w:t>
      </w:r>
      <w:r w:rsidR="00586B0C">
        <w:rPr>
          <w:rFonts w:cs="Arial"/>
          <w:szCs w:val="22"/>
        </w:rPr>
        <w:t>ida</w:t>
      </w:r>
      <w:r w:rsidR="00B24A14">
        <w:rPr>
          <w:rFonts w:cs="Arial"/>
          <w:szCs w:val="22"/>
        </w:rPr>
        <w:t>s</w:t>
      </w:r>
      <w:r w:rsidR="00AA41B6">
        <w:rPr>
          <w:rFonts w:cs="Arial"/>
          <w:szCs w:val="22"/>
        </w:rPr>
        <w:t xml:space="preserve"> de juros de mora, nos termos da fundamentação.</w:t>
      </w:r>
    </w:p>
    <w:p w:rsidR="00AA41B6" w:rsidRDefault="00AA41B6" w:rsidP="005A4828">
      <w:pPr>
        <w:pStyle w:val="Pargrafo"/>
        <w:widowControl w:val="0"/>
        <w:spacing w:before="0" w:after="0"/>
        <w:rPr>
          <w:rFonts w:cs="Arial"/>
          <w:szCs w:val="22"/>
        </w:rPr>
      </w:pPr>
    </w:p>
    <w:p w:rsidR="00AA41B6" w:rsidRDefault="00AA41B6" w:rsidP="00AA41B6">
      <w:pPr>
        <w:pStyle w:val="Pargrafo"/>
        <w:rPr>
          <w:rFonts w:cs="Arial"/>
          <w:szCs w:val="22"/>
        </w:rPr>
      </w:pPr>
      <w:r>
        <w:rPr>
          <w:rFonts w:cs="Arial"/>
          <w:szCs w:val="22"/>
        </w:rPr>
        <w:t xml:space="preserve">Honorários advocatícios fixados em 10% das prestações vencidas até a data do presente acórdão, conforme Súmula nº 111, do Superior Tribunal de Justiça (STJ) e art.20, § 4º, do CPC. </w:t>
      </w:r>
    </w:p>
    <w:p w:rsidR="00AA41B6" w:rsidRDefault="00AA41B6" w:rsidP="00AA41B6">
      <w:pPr>
        <w:pStyle w:val="Pargrafo"/>
        <w:rPr>
          <w:rFonts w:cs="Arial"/>
          <w:b/>
        </w:rPr>
      </w:pPr>
      <w:r>
        <w:rPr>
          <w:rFonts w:cs="Arial"/>
          <w:szCs w:val="22"/>
        </w:rPr>
        <w:t>É o voto.</w:t>
      </w:r>
    </w:p>
    <w:p w:rsidR="0015179D" w:rsidRPr="00315072" w:rsidRDefault="0015179D" w:rsidP="005A4828">
      <w:pPr>
        <w:pStyle w:val="Identificao"/>
        <w:spacing w:before="120" w:after="120"/>
        <w:ind w:firstLine="1440"/>
      </w:pPr>
    </w:p>
    <w:sectPr w:rsidR="0015179D" w:rsidRPr="00315072" w:rsidSect="004554A7">
      <w:headerReference w:type="default" r:id="rId8"/>
      <w:footerReference w:type="default" r:id="rId9"/>
      <w:head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A14" w:rsidRDefault="00B24A14">
      <w:r>
        <w:separator/>
      </w:r>
    </w:p>
  </w:endnote>
  <w:endnote w:type="continuationSeparator" w:id="1">
    <w:p w:rsidR="00B24A14" w:rsidRDefault="00B24A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rus BT">
    <w:panose1 w:val="02090602060506020304"/>
    <w:charset w:val="00"/>
    <w:family w:val="roman"/>
    <w:pitch w:val="variable"/>
    <w:sig w:usb0="00000087" w:usb1="00000000" w:usb2="00000000" w:usb3="00000000" w:csb0="0000001B" w:csb1="00000000"/>
  </w:font>
  <w:font w:name="MS Mincho">
    <w:altName w:val="ＭＳ 明朝"/>
    <w:panose1 w:val="02020609040205080304"/>
    <w:charset w:val="80"/>
    <w:family w:val="roman"/>
    <w:notTrueType/>
    <w:pitch w:val="fixed"/>
    <w:sig w:usb0="00000001" w:usb1="08070000" w:usb2="00000010" w:usb3="00000000" w:csb0="00020000" w:csb1="00000000"/>
  </w:font>
  <w:font w:name="Interleaved 2of5">
    <w:panose1 w:val="000004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14" w:rsidRDefault="00B24A14">
    <w:pPr>
      <w:tabs>
        <w:tab w:val="right" w:pos="936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A14" w:rsidRDefault="00B24A14">
      <w:r>
        <w:separator/>
      </w:r>
    </w:p>
  </w:footnote>
  <w:footnote w:type="continuationSeparator" w:id="1">
    <w:p w:rsidR="00B24A14" w:rsidRDefault="00B24A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14" w:rsidRDefault="00B24A14">
    <w:pPr>
      <w:spacing w:before="120"/>
      <w:rPr>
        <w:rFonts w:ascii="Arial" w:hAnsi="Arial"/>
        <w:sz w:val="16"/>
      </w:rPr>
    </w:pPr>
    <w:r>
      <w:rPr>
        <w:rFonts w:ascii="Arial" w:hAnsi="Arial"/>
        <w:sz w:val="16"/>
      </w:rPr>
      <w:t>PODER JUDICIÁRIO</w:t>
    </w:r>
  </w:p>
  <w:p w:rsidR="00B24A14" w:rsidRDefault="00B24A14">
    <w:pPr>
      <w:tabs>
        <w:tab w:val="right" w:pos="9540"/>
      </w:tabs>
      <w:spacing w:after="120"/>
      <w:rPr>
        <w:rFonts w:ascii="Arial" w:hAnsi="Arial"/>
        <w:b/>
        <w:sz w:val="20"/>
      </w:rPr>
    </w:pPr>
    <w:r>
      <w:rPr>
        <w:rFonts w:ascii="Arial" w:hAnsi="Arial"/>
        <w:b/>
        <w:sz w:val="20"/>
      </w:rPr>
      <w:t>TRIBUNAL REGIONAL FEDERAL DA PRIMEIRA REGIÃO</w:t>
    </w:r>
  </w:p>
  <w:p w:rsidR="00B24A14" w:rsidRPr="00D522CB" w:rsidRDefault="00B24A14" w:rsidP="005A4828">
    <w:pPr>
      <w:pStyle w:val="Identificao"/>
    </w:pPr>
    <w:r w:rsidRPr="00D522CB">
      <w:t>APELAÇÃO CÍVEL</w:t>
    </w:r>
    <w:proofErr w:type="gramStart"/>
    <w:r w:rsidRPr="00D522CB">
      <w:t xml:space="preserve">  </w:t>
    </w:r>
    <w:proofErr w:type="gramEnd"/>
    <w:r w:rsidRPr="00D522CB">
      <w:t>0000794-17.2009.4.01.3306 (2009.33.06.000795-4)/BA</w:t>
    </w:r>
  </w:p>
  <w:p w:rsidR="00B24A14" w:rsidRDefault="00B24A14" w:rsidP="005A4828">
    <w:pPr>
      <w:tabs>
        <w:tab w:val="right" w:pos="9540"/>
      </w:tabs>
      <w:spacing w:after="120"/>
      <w:rPr>
        <w:rFonts w:ascii="Arial" w:hAnsi="Arial" w:cs="Arial"/>
        <w:bCs/>
        <w:sz w:val="16"/>
      </w:rPr>
    </w:pPr>
    <w:r w:rsidRPr="00D522CB">
      <w:t>Processo na Origem: 7941720094013306</w:t>
    </w:r>
    <w:r>
      <w:rPr>
        <w:rFonts w:ascii="Arial" w:hAnsi="Arial"/>
        <w:b/>
        <w:sz w:val="20"/>
      </w:rPr>
      <w:tab/>
    </w:r>
    <w:r>
      <w:rPr>
        <w:rFonts w:ascii="Arial" w:hAnsi="Arial" w:cs="Arial"/>
        <w:bCs/>
        <w:sz w:val="16"/>
      </w:rPr>
      <w:t>fls.</w:t>
    </w:r>
    <w:r w:rsidR="008B402E">
      <w:rPr>
        <w:rFonts w:ascii="Arial" w:hAnsi="Arial" w:cs="Arial"/>
        <w:bCs/>
        <w:sz w:val="16"/>
      </w:rPr>
      <w:fldChar w:fldCharType="begin"/>
    </w:r>
    <w:r>
      <w:rPr>
        <w:rFonts w:ascii="Arial" w:hAnsi="Arial" w:cs="Arial"/>
        <w:bCs/>
        <w:sz w:val="16"/>
      </w:rPr>
      <w:instrText xml:space="preserve"> PAGE </w:instrText>
    </w:r>
    <w:r w:rsidR="008B402E">
      <w:rPr>
        <w:rFonts w:ascii="Arial" w:hAnsi="Arial" w:cs="Arial"/>
        <w:bCs/>
        <w:sz w:val="16"/>
      </w:rPr>
      <w:fldChar w:fldCharType="separate"/>
    </w:r>
    <w:r w:rsidR="00586B0C">
      <w:rPr>
        <w:rFonts w:ascii="Arial" w:hAnsi="Arial" w:cs="Arial"/>
        <w:bCs/>
        <w:noProof/>
        <w:sz w:val="16"/>
      </w:rPr>
      <w:t>4</w:t>
    </w:r>
    <w:r w:rsidR="008B402E">
      <w:rPr>
        <w:rFonts w:ascii="Arial" w:hAnsi="Arial" w:cs="Arial"/>
        <w:bCs/>
        <w:sz w:val="16"/>
      </w:rPr>
      <w:fldChar w:fldCharType="end"/>
    </w:r>
    <w:r>
      <w:rPr>
        <w:rFonts w:ascii="Arial" w:hAnsi="Arial" w:cs="Arial"/>
        <w:bCs/>
        <w:sz w:val="16"/>
      </w:rPr>
      <w:t>/</w:t>
    </w:r>
    <w:r w:rsidR="008B402E">
      <w:rPr>
        <w:rFonts w:ascii="Arial" w:hAnsi="Arial" w:cs="Arial"/>
        <w:bCs/>
        <w:sz w:val="16"/>
      </w:rPr>
      <w:fldChar w:fldCharType="begin"/>
    </w:r>
    <w:r>
      <w:rPr>
        <w:rFonts w:ascii="Arial" w:hAnsi="Arial" w:cs="Arial"/>
        <w:bCs/>
        <w:sz w:val="16"/>
      </w:rPr>
      <w:instrText xml:space="preserve"> NUMPAGES </w:instrText>
    </w:r>
    <w:r w:rsidR="008B402E">
      <w:rPr>
        <w:rFonts w:ascii="Arial" w:hAnsi="Arial" w:cs="Arial"/>
        <w:bCs/>
        <w:sz w:val="16"/>
      </w:rPr>
      <w:fldChar w:fldCharType="separate"/>
    </w:r>
    <w:r w:rsidR="00235CFA">
      <w:rPr>
        <w:rFonts w:ascii="Arial" w:hAnsi="Arial" w:cs="Arial"/>
        <w:bCs/>
        <w:noProof/>
        <w:sz w:val="16"/>
      </w:rPr>
      <w:t>5</w:t>
    </w:r>
    <w:r w:rsidR="008B402E">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A14" w:rsidRPr="00315072" w:rsidRDefault="00B24A14" w:rsidP="00315072">
    <w:pPr>
      <w:jc w:val="right"/>
      <w:rPr>
        <w:rFonts w:ascii="Interleaved 2of5" w:hAnsi="Interleaved 2of5"/>
        <w:sz w:val="48"/>
      </w:rPr>
    </w:pPr>
    <w:r w:rsidRPr="00315072">
      <w:rPr>
        <w:rFonts w:ascii="Interleaved 2of5" w:hAnsi="Interleaved 2of5"/>
        <w:sz w:val="48"/>
      </w:rPr>
      <w:t>(</w:t>
    </w:r>
    <w:proofErr w:type="gramStart"/>
    <w:r w:rsidRPr="00315072">
      <w:rPr>
        <w:rFonts w:ascii="Interleaved 2of5" w:hAnsi="Interleaved 2of5"/>
        <w:sz w:val="48"/>
      </w:rPr>
      <w:t>20ëNÊ0ÝÄ</w:t>
    </w:r>
    <w:proofErr w:type="gramEnd"/>
    <w:r w:rsidRPr="00315072">
      <w:rPr>
        <w:rFonts w:ascii="Interleaved 2of5" w:hAnsi="Interleaved 2of5"/>
        <w:sz w:val="48"/>
      </w:rPr>
      <w:t>)</w:t>
    </w:r>
  </w:p>
  <w:p w:rsidR="00B24A14" w:rsidRDefault="00B24A14" w:rsidP="00315072">
    <w:pPr>
      <w:spacing w:before="120"/>
      <w:rPr>
        <w:rFonts w:ascii="Arial" w:hAnsi="Arial"/>
        <w:sz w:val="16"/>
      </w:rPr>
    </w:pPr>
  </w:p>
  <w:p w:rsidR="00B24A14" w:rsidRDefault="00B24A14"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B24A14" w:rsidRDefault="00B24A14" w:rsidP="004554A7">
    <w:pPr>
      <w:spacing w:before="120"/>
      <w:jc w:val="center"/>
      <w:rPr>
        <w:rFonts w:ascii="Arial" w:hAnsi="Arial"/>
        <w:sz w:val="16"/>
      </w:rPr>
    </w:pPr>
    <w:r>
      <w:rPr>
        <w:rFonts w:ascii="Arial" w:hAnsi="Arial"/>
        <w:sz w:val="16"/>
      </w:rPr>
      <w:t>PODER JUDICIÁRIO</w:t>
    </w:r>
  </w:p>
  <w:p w:rsidR="00B24A14" w:rsidRDefault="00B24A14"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5A4828"/>
    <w:rsid w:val="0015179D"/>
    <w:rsid w:val="00191A8C"/>
    <w:rsid w:val="002331F7"/>
    <w:rsid w:val="00235CFA"/>
    <w:rsid w:val="00315072"/>
    <w:rsid w:val="00413610"/>
    <w:rsid w:val="004269A8"/>
    <w:rsid w:val="004554A7"/>
    <w:rsid w:val="00462716"/>
    <w:rsid w:val="00471CDF"/>
    <w:rsid w:val="004C17AC"/>
    <w:rsid w:val="00586B0C"/>
    <w:rsid w:val="005A4828"/>
    <w:rsid w:val="005E20DB"/>
    <w:rsid w:val="006779DE"/>
    <w:rsid w:val="006A4ECE"/>
    <w:rsid w:val="007A7066"/>
    <w:rsid w:val="007C3424"/>
    <w:rsid w:val="008713AE"/>
    <w:rsid w:val="00872397"/>
    <w:rsid w:val="008A3D69"/>
    <w:rsid w:val="008B402E"/>
    <w:rsid w:val="008C4395"/>
    <w:rsid w:val="0099169E"/>
    <w:rsid w:val="00AA41B6"/>
    <w:rsid w:val="00B24A14"/>
    <w:rsid w:val="00B65AD5"/>
    <w:rsid w:val="00C5492A"/>
    <w:rsid w:val="00D221D6"/>
    <w:rsid w:val="00DD0AC9"/>
    <w:rsid w:val="00E850E4"/>
    <w:rsid w:val="00EB0DAC"/>
    <w:rsid w:val="00EE6447"/>
    <w:rsid w:val="00F22B13"/>
    <w:rsid w:val="00F25C1B"/>
    <w:rsid w:val="00F754F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4828"/>
    <w:rPr>
      <w:sz w:val="24"/>
      <w:szCs w:val="24"/>
    </w:rPr>
  </w:style>
  <w:style w:type="paragraph" w:styleId="Ttulo1">
    <w:name w:val="heading 1"/>
    <w:basedOn w:val="Normal"/>
    <w:next w:val="Normal"/>
    <w:link w:val="Ttulo1Char"/>
    <w:qFormat/>
    <w:rsid w:val="005A48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F754F3"/>
    <w:pPr>
      <w:spacing w:before="0" w:after="0"/>
    </w:pPr>
  </w:style>
  <w:style w:type="paragraph" w:customStyle="1" w:styleId="ementa">
    <w:name w:val="ementa"/>
    <w:basedOn w:val="Pargrafo"/>
    <w:link w:val="ementaChar"/>
    <w:rsid w:val="002331F7"/>
    <w:pPr>
      <w:ind w:firstLine="0"/>
    </w:pPr>
  </w:style>
  <w:style w:type="paragraph" w:customStyle="1" w:styleId="Pargrafo">
    <w:name w:val="Parágrafo"/>
    <w:basedOn w:val="Normal"/>
    <w:link w:val="PargrafoChar"/>
    <w:rsid w:val="00F754F3"/>
    <w:pPr>
      <w:spacing w:before="120" w:after="120"/>
      <w:ind w:firstLine="1418"/>
      <w:jc w:val="both"/>
    </w:pPr>
    <w:rPr>
      <w:rFonts w:ascii="Arial" w:hAnsi="Arial"/>
      <w:sz w:val="22"/>
    </w:rPr>
  </w:style>
  <w:style w:type="paragraph" w:customStyle="1" w:styleId="centralizar">
    <w:name w:val="centralizar"/>
    <w:basedOn w:val="Pargrafo"/>
    <w:next w:val="Pargrafo"/>
    <w:rsid w:val="00F754F3"/>
    <w:pPr>
      <w:spacing w:before="360" w:after="360"/>
      <w:ind w:firstLine="0"/>
      <w:jc w:val="center"/>
    </w:pPr>
    <w:rPr>
      <w:b/>
    </w:rPr>
  </w:style>
  <w:style w:type="paragraph" w:customStyle="1" w:styleId="Transcrio">
    <w:name w:val="Transcrição"/>
    <w:basedOn w:val="Pargrafo"/>
    <w:link w:val="TranscrioChar"/>
    <w:rsid w:val="00F754F3"/>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F754F3"/>
    <w:pPr>
      <w:ind w:left="2835"/>
    </w:pPr>
  </w:style>
  <w:style w:type="paragraph" w:customStyle="1" w:styleId="transcrio3">
    <w:name w:val="transcrição 3"/>
    <w:basedOn w:val="Identificao"/>
    <w:rsid w:val="00F754F3"/>
    <w:pPr>
      <w:ind w:left="3686"/>
    </w:pPr>
    <w:rPr>
      <w:i/>
      <w:iCs/>
    </w:rPr>
  </w:style>
  <w:style w:type="paragraph" w:customStyle="1" w:styleId="transcrio4">
    <w:name w:val="transcrição 4"/>
    <w:basedOn w:val="transcrio3"/>
    <w:rsid w:val="00F754F3"/>
    <w:pPr>
      <w:ind w:left="4536"/>
    </w:pPr>
  </w:style>
  <w:style w:type="paragraph" w:customStyle="1" w:styleId="assinatura">
    <w:name w:val="assinatura"/>
    <w:basedOn w:val="Pargrafo"/>
    <w:rsid w:val="00F754F3"/>
    <w:pPr>
      <w:spacing w:before="0" w:after="0"/>
      <w:ind w:firstLine="0"/>
      <w:jc w:val="center"/>
    </w:pPr>
  </w:style>
  <w:style w:type="paragraph" w:customStyle="1" w:styleId="Pargrafo2">
    <w:name w:val="Parágrafo 2"/>
    <w:basedOn w:val="Pargrafo"/>
    <w:rsid w:val="00F754F3"/>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315072"/>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315072"/>
    <w:rPr>
      <w:rFonts w:ascii="Consolas" w:eastAsiaTheme="minorHAnsi" w:hAnsi="Consolas" w:cstheme="minorBidi"/>
      <w:sz w:val="21"/>
      <w:szCs w:val="21"/>
      <w:lang w:eastAsia="en-US"/>
    </w:rPr>
  </w:style>
  <w:style w:type="character" w:customStyle="1" w:styleId="PargrafoChar">
    <w:name w:val="Parágrafo Char"/>
    <w:basedOn w:val="Fontepargpadro"/>
    <w:link w:val="Pargrafo"/>
    <w:locked/>
    <w:rsid w:val="00315072"/>
    <w:rPr>
      <w:rFonts w:ascii="Arial" w:hAnsi="Arial"/>
      <w:sz w:val="22"/>
      <w:szCs w:val="24"/>
    </w:rPr>
  </w:style>
  <w:style w:type="character" w:customStyle="1" w:styleId="ementaChar">
    <w:name w:val="ementa Char"/>
    <w:basedOn w:val="Fontepargpadro"/>
    <w:link w:val="ementa"/>
    <w:locked/>
    <w:rsid w:val="00315072"/>
    <w:rPr>
      <w:rFonts w:ascii="Arial" w:hAnsi="Arial"/>
      <w:sz w:val="22"/>
      <w:szCs w:val="24"/>
    </w:rPr>
  </w:style>
  <w:style w:type="paragraph" w:styleId="Textodebalo">
    <w:name w:val="Balloon Text"/>
    <w:basedOn w:val="Normal"/>
    <w:link w:val="TextodebaloChar"/>
    <w:rsid w:val="005A4828"/>
    <w:rPr>
      <w:rFonts w:ascii="Tahoma" w:hAnsi="Tahoma" w:cs="Tahoma"/>
      <w:sz w:val="16"/>
      <w:szCs w:val="16"/>
    </w:rPr>
  </w:style>
  <w:style w:type="character" w:customStyle="1" w:styleId="TextodebaloChar">
    <w:name w:val="Texto de balão Char"/>
    <w:basedOn w:val="Fontepargpadro"/>
    <w:link w:val="Textodebalo"/>
    <w:rsid w:val="005A4828"/>
    <w:rPr>
      <w:rFonts w:ascii="Tahoma" w:hAnsi="Tahoma" w:cs="Tahoma"/>
      <w:sz w:val="16"/>
      <w:szCs w:val="16"/>
    </w:rPr>
  </w:style>
  <w:style w:type="character" w:styleId="Hyperlink">
    <w:name w:val="Hyperlink"/>
    <w:unhideWhenUsed/>
    <w:rsid w:val="005A4828"/>
    <w:rPr>
      <w:color w:val="0000FF"/>
      <w:u w:val="single"/>
    </w:rPr>
  </w:style>
  <w:style w:type="paragraph" w:styleId="Corpodetexto">
    <w:name w:val="Body Text"/>
    <w:basedOn w:val="Normal"/>
    <w:link w:val="CorpodetextoChar"/>
    <w:unhideWhenUsed/>
    <w:rsid w:val="005A4828"/>
    <w:pPr>
      <w:tabs>
        <w:tab w:val="left" w:pos="2607"/>
      </w:tabs>
      <w:overflowPunct w:val="0"/>
      <w:autoSpaceDE w:val="0"/>
      <w:autoSpaceDN w:val="0"/>
      <w:adjustRightInd w:val="0"/>
      <w:spacing w:before="240" w:line="480" w:lineRule="auto"/>
      <w:jc w:val="both"/>
    </w:pPr>
    <w:rPr>
      <w:rFonts w:ascii="Arrus BT" w:hAnsi="Arrus BT"/>
      <w:szCs w:val="20"/>
    </w:rPr>
  </w:style>
  <w:style w:type="character" w:customStyle="1" w:styleId="CorpodetextoChar">
    <w:name w:val="Corpo de texto Char"/>
    <w:basedOn w:val="Fontepargpadro"/>
    <w:link w:val="Corpodetexto"/>
    <w:rsid w:val="005A4828"/>
    <w:rPr>
      <w:rFonts w:ascii="Arrus BT" w:hAnsi="Arrus BT"/>
      <w:sz w:val="24"/>
    </w:rPr>
  </w:style>
  <w:style w:type="character" w:customStyle="1" w:styleId="TranscrioChar">
    <w:name w:val="Transcrição Char"/>
    <w:basedOn w:val="Fontepargpadro"/>
    <w:link w:val="Transcrio"/>
    <w:locked/>
    <w:rsid w:val="005A4828"/>
    <w:rPr>
      <w:rFonts w:ascii="Arial" w:hAnsi="Arial"/>
      <w:i/>
      <w:sz w:val="22"/>
      <w:szCs w:val="24"/>
    </w:rPr>
  </w:style>
  <w:style w:type="paragraph" w:customStyle="1" w:styleId="TtuloRelatorioVotoEmenta">
    <w:name w:val="Título Relatorio Voto Ementa"/>
    <w:basedOn w:val="Ttulo1"/>
    <w:next w:val="Normal"/>
    <w:autoRedefine/>
    <w:rsid w:val="005A4828"/>
    <w:pPr>
      <w:keepLines w:val="0"/>
      <w:overflowPunct w:val="0"/>
      <w:autoSpaceDE w:val="0"/>
      <w:autoSpaceDN w:val="0"/>
      <w:adjustRightInd w:val="0"/>
      <w:spacing w:before="120" w:after="120" w:line="360" w:lineRule="auto"/>
      <w:jc w:val="center"/>
    </w:pPr>
    <w:rPr>
      <w:rFonts w:ascii="Arial" w:eastAsia="Times New Roman" w:hAnsi="Arial" w:cs="Arial"/>
      <w:bCs w:val="0"/>
      <w:color w:val="auto"/>
      <w:sz w:val="22"/>
      <w:szCs w:val="22"/>
    </w:rPr>
  </w:style>
  <w:style w:type="paragraph" w:customStyle="1" w:styleId="Corpodetextomodelo">
    <w:name w:val="Corpo de texto modelo"/>
    <w:basedOn w:val="Corpodetexto"/>
    <w:rsid w:val="005A4828"/>
  </w:style>
  <w:style w:type="character" w:customStyle="1" w:styleId="Ttulo1Char">
    <w:name w:val="Título 1 Char"/>
    <w:basedOn w:val="Fontepargpadro"/>
    <w:link w:val="Ttulo1"/>
    <w:rsid w:val="005A482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33185305">
      <w:bodyDiv w:val="1"/>
      <w:marLeft w:val="0"/>
      <w:marRight w:val="0"/>
      <w:marTop w:val="0"/>
      <w:marBottom w:val="0"/>
      <w:divBdr>
        <w:top w:val="none" w:sz="0" w:space="0" w:color="auto"/>
        <w:left w:val="none" w:sz="0" w:space="0" w:color="auto"/>
        <w:bottom w:val="none" w:sz="0" w:space="0" w:color="auto"/>
        <w:right w:val="none" w:sz="0" w:space="0" w:color="auto"/>
      </w:divBdr>
    </w:div>
    <w:div w:id="21346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Constituicao/Constitui&#231;ao.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19</TotalTime>
  <Pages>5</Pages>
  <Words>2030</Words>
  <Characters>10891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trf1</Company>
  <LinksUpToDate>false</LinksUpToDate>
  <CharactersWithSpaces>12896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TR300321</dc:creator>
  <cp:lastModifiedBy>ba375503</cp:lastModifiedBy>
  <cp:revision>10</cp:revision>
  <cp:lastPrinted>2015-08-14T15:48:00Z</cp:lastPrinted>
  <dcterms:created xsi:type="dcterms:W3CDTF">2015-06-11T13:25:00Z</dcterms:created>
  <dcterms:modified xsi:type="dcterms:W3CDTF">2015-08-14T15:51:00Z</dcterms:modified>
</cp:coreProperties>
</file>