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818" w:rsidRPr="00E37B67" w:rsidRDefault="00E91818" w:rsidP="004718B2">
      <w:pPr>
        <w:pStyle w:val="centralizar"/>
      </w:pPr>
      <w:r>
        <w:t>APELAÇÃO CÍVEL</w:t>
      </w:r>
      <w:r w:rsidRPr="00E37B67">
        <w:t xml:space="preserve"> 00</w:t>
      </w:r>
      <w:r>
        <w:t>02617</w:t>
      </w:r>
      <w:r w:rsidRPr="00E37B67">
        <w:t>-</w:t>
      </w:r>
      <w:r>
        <w:t>69</w:t>
      </w:r>
      <w:r w:rsidRPr="00E37B67">
        <w:t>.20</w:t>
      </w:r>
      <w:r>
        <w:t>08</w:t>
      </w:r>
      <w:r w:rsidRPr="00E37B67">
        <w:t>.4.01.3</w:t>
      </w:r>
      <w:r>
        <w:t>4</w:t>
      </w:r>
      <w:r w:rsidRPr="00E37B67">
        <w:t>00/</w:t>
      </w:r>
      <w:r>
        <w:t>DF</w:t>
      </w:r>
    </w:p>
    <w:p w:rsidR="00E91818" w:rsidRPr="00E37B67" w:rsidRDefault="00E91818" w:rsidP="004718B2">
      <w:pPr>
        <w:pStyle w:val="centralizar"/>
      </w:pPr>
      <w:r w:rsidRPr="00E37B67">
        <w:t>R E L AT Ó R I O</w:t>
      </w:r>
    </w:p>
    <w:p w:rsidR="00E91818" w:rsidRPr="00E37B67" w:rsidRDefault="00E91818" w:rsidP="004718B2">
      <w:pPr>
        <w:pStyle w:val="centralizar"/>
      </w:pPr>
      <w:r w:rsidRPr="001C6A3A">
        <w:t xml:space="preserve">O EXMO. </w:t>
      </w:r>
      <w:proofErr w:type="gramStart"/>
      <w:r w:rsidRPr="001C6A3A">
        <w:t>SR.</w:t>
      </w:r>
      <w:proofErr w:type="gramEnd"/>
      <w:r w:rsidRPr="001C6A3A">
        <w:t xml:space="preserve"> DESEMBARGADOR FEDERAL JAMIL ROSA DE JESUS OLIVEIRA - (Relator):</w:t>
      </w:r>
    </w:p>
    <w:p w:rsidR="00E91818" w:rsidRDefault="00E91818" w:rsidP="004718B2">
      <w:pPr>
        <w:pStyle w:val="Pargrafo"/>
      </w:pPr>
      <w:r w:rsidRPr="00E37B67">
        <w:t>Cuida-s</w:t>
      </w:r>
      <w:r>
        <w:t xml:space="preserve">e de ação ordinária proposta </w:t>
      </w:r>
      <w:r w:rsidRPr="00E37B67">
        <w:t>para o fim de condenar a União a cumprir integralmente a p</w:t>
      </w:r>
      <w:r>
        <w:t>ortaria declaratória de anistia do autor, a qual foi anulada por portaria posterior, do Ministério da Justiça, requerendo seja efetivamente reconhecida sua condição de anistiado político.</w:t>
      </w:r>
    </w:p>
    <w:p w:rsidR="00E91818" w:rsidRDefault="00E91818" w:rsidP="004718B2">
      <w:pPr>
        <w:pStyle w:val="Pargrafo"/>
      </w:pPr>
      <w:r w:rsidRPr="00E37B67">
        <w:t xml:space="preserve">O pedido foi julgado </w:t>
      </w:r>
      <w:r>
        <w:t>im</w:t>
      </w:r>
      <w:r w:rsidRPr="00E37B67">
        <w:t xml:space="preserve">procedente, </w:t>
      </w:r>
      <w:r>
        <w:t xml:space="preserve">não tendo o juízo </w:t>
      </w:r>
      <w:r w:rsidRPr="001C6A3A">
        <w:rPr>
          <w:i/>
          <w:iCs/>
        </w:rPr>
        <w:t xml:space="preserve">a </w:t>
      </w:r>
      <w:proofErr w:type="spellStart"/>
      <w:r w:rsidRPr="001C6A3A">
        <w:rPr>
          <w:i/>
          <w:iCs/>
        </w:rPr>
        <w:t>quo</w:t>
      </w:r>
      <w:proofErr w:type="spellEnd"/>
      <w:r>
        <w:t xml:space="preserve"> reconhecido a condição de anistiado do autor, sob o fundamento de que ingressou na Aeronáutica antes da edição da Portaria n. 1.103/GM3, de 1964, e também por ter sido licenciado por conclusão do tempo de serviço militar.</w:t>
      </w:r>
    </w:p>
    <w:p w:rsidR="00E91818" w:rsidRDefault="00E91818" w:rsidP="004718B2">
      <w:pPr>
        <w:pStyle w:val="Pargrafo"/>
      </w:pPr>
      <w:r>
        <w:t>O autor interpôs recurso de apelação requerendo a revisão do julgado.</w:t>
      </w:r>
    </w:p>
    <w:p w:rsidR="00E91818" w:rsidRDefault="00E91818" w:rsidP="004718B2">
      <w:pPr>
        <w:pStyle w:val="Pargrafo"/>
      </w:pPr>
      <w:r>
        <w:t>A ré também apresentou apelo, insurgindo-se tão somente contra os honorários fixados na sentença.</w:t>
      </w:r>
    </w:p>
    <w:p w:rsidR="00E91818" w:rsidRPr="00E37B67" w:rsidRDefault="00E91818" w:rsidP="004718B2">
      <w:pPr>
        <w:pStyle w:val="Pargrafo"/>
      </w:pPr>
      <w:r w:rsidRPr="00E37B67">
        <w:t>O recurso</w:t>
      </w:r>
      <w:r>
        <w:t xml:space="preserve"> da parte autora</w:t>
      </w:r>
      <w:r w:rsidRPr="00E37B67">
        <w:t xml:space="preserve"> foi </w:t>
      </w:r>
      <w:proofErr w:type="spellStart"/>
      <w:r w:rsidRPr="00E37B67">
        <w:t>contrarrazoado</w:t>
      </w:r>
      <w:proofErr w:type="spellEnd"/>
      <w:r w:rsidRPr="00E37B67">
        <w:t>.</w:t>
      </w:r>
    </w:p>
    <w:p w:rsidR="00E91818" w:rsidRPr="00E37B67" w:rsidRDefault="00E91818" w:rsidP="004718B2">
      <w:pPr>
        <w:pStyle w:val="Pargrafo"/>
        <w:rPr>
          <w:b/>
          <w:bCs/>
        </w:rPr>
      </w:pPr>
      <w:r w:rsidRPr="00E37B67">
        <w:rPr>
          <w:b/>
          <w:bCs/>
        </w:rPr>
        <w:t>Eis, em síntese, o relatório.</w:t>
      </w:r>
    </w:p>
    <w:p w:rsidR="00E91818" w:rsidRPr="00E37B67" w:rsidRDefault="00E91818" w:rsidP="00384D5C">
      <w:pPr>
        <w:pStyle w:val="centralizar"/>
      </w:pPr>
      <w:r w:rsidRPr="00E37B67">
        <w:t>V O T O</w:t>
      </w:r>
    </w:p>
    <w:p w:rsidR="00E91818" w:rsidRPr="00E37B67" w:rsidRDefault="00E91818" w:rsidP="006E0DC8">
      <w:pPr>
        <w:pStyle w:val="Pargrafo"/>
        <w:spacing w:before="240"/>
        <w:rPr>
          <w:b/>
          <w:bCs/>
        </w:rPr>
      </w:pPr>
      <w:r w:rsidRPr="00E37B67">
        <w:rPr>
          <w:b/>
          <w:bCs/>
        </w:rPr>
        <w:t>A decadência do direito de anular o ato concessivo de anistia</w:t>
      </w:r>
    </w:p>
    <w:p w:rsidR="00E91818" w:rsidRPr="00E37B67" w:rsidRDefault="00E91818" w:rsidP="006E0DC8">
      <w:pPr>
        <w:pStyle w:val="Pargrafo"/>
      </w:pPr>
      <w:r w:rsidRPr="00E37B67">
        <w:t>A decadência ou caducidade é a perda do direito pelo não uso dele em determinado trato de tempo, fixado em lei ou convenção, findo o qual se adelgaça e se desfaz.</w:t>
      </w:r>
    </w:p>
    <w:p w:rsidR="00E91818" w:rsidRPr="00E37B67" w:rsidRDefault="00E91818" w:rsidP="006E0DC8">
      <w:pPr>
        <w:pStyle w:val="Pargrafo"/>
      </w:pPr>
      <w:r w:rsidRPr="00E37B67">
        <w:t>Pois bem. Nos termos do art. 54 da Lei n. 9.784, de 1999:</w:t>
      </w:r>
    </w:p>
    <w:p w:rsidR="00E91818" w:rsidRPr="00E37B67" w:rsidRDefault="00E91818" w:rsidP="006E0DC8">
      <w:pPr>
        <w:pStyle w:val="Transcrio"/>
      </w:pPr>
      <w:r w:rsidRPr="00E37B67">
        <w:t>O direito da Administração de anular os atos administrativos de que decorram efeitos favoráveis para os destinatários decai em cinco anos, contados da data em que foram praticados, salvo comprovada má-fé.</w:t>
      </w:r>
    </w:p>
    <w:p w:rsidR="00E91818" w:rsidRPr="00E37B67" w:rsidRDefault="00E91818" w:rsidP="006E0DC8">
      <w:pPr>
        <w:pStyle w:val="Transcrio"/>
      </w:pPr>
      <w:r w:rsidRPr="00E37B67">
        <w:t>§ 1º No caso de efeitos patrimoniais contínuos, o prazo de decadência contar-se-á da percepção do primeiro pagamento.</w:t>
      </w:r>
    </w:p>
    <w:p w:rsidR="00E91818" w:rsidRPr="00E37B67" w:rsidRDefault="00E91818" w:rsidP="006E0DC8">
      <w:pPr>
        <w:pStyle w:val="Transcrio"/>
      </w:pPr>
      <w:r w:rsidRPr="00E37B67">
        <w:t>§ 2º Considera-se exercício do direito de anular qualquer medida de autoridade administrativa que importe em impugnação à validade do ato.</w:t>
      </w:r>
    </w:p>
    <w:p w:rsidR="00E91818" w:rsidRPr="00E37B67" w:rsidRDefault="00E91818" w:rsidP="006E0DC8">
      <w:pPr>
        <w:pStyle w:val="Pargrafo"/>
        <w:spacing w:before="240"/>
      </w:pPr>
      <w:r w:rsidRPr="00E37B67">
        <w:t>Ainda que a questão concernente à decadência do direito da Administração de anular o ato administrativo não fosse objeto de discussão entre as partes, o que ocorreu neste caso, a caducidade do direito de anulação deve ser pronunciada de ofício pelo juiz, nos termos do art. 210 do Código Civil, quando o prazo extintivo da pretensão estiver previsto em lei, como na hipótese de decadência de anulação de atos administrativos</w:t>
      </w:r>
    </w:p>
    <w:p w:rsidR="00E91818" w:rsidRPr="00E37B67" w:rsidRDefault="00E91818" w:rsidP="006E0DC8">
      <w:pPr>
        <w:pStyle w:val="Pargrafo"/>
      </w:pPr>
      <w:r w:rsidRPr="00E37B67">
        <w:t xml:space="preserve">A ocorrência de má-fé na prática do ato administrativo não submete a iniciativa administrativa ao prazo </w:t>
      </w:r>
      <w:proofErr w:type="spellStart"/>
      <w:r w:rsidRPr="00E37B67">
        <w:t>quinquenal</w:t>
      </w:r>
      <w:proofErr w:type="spellEnd"/>
      <w:r w:rsidRPr="00E37B67">
        <w:t xml:space="preserve">, daí que a esse fundamento exclusivo – má-fé – não está a Administração interditada de proceder à anulação do ato praticado com esse viés. </w:t>
      </w:r>
    </w:p>
    <w:p w:rsidR="00E91818" w:rsidRPr="00E37B67" w:rsidRDefault="00E91818" w:rsidP="006E0DC8">
      <w:pPr>
        <w:pStyle w:val="Pargrafo"/>
      </w:pPr>
      <w:r w:rsidRPr="00E37B67">
        <w:lastRenderedPageBreak/>
        <w:t xml:space="preserve">Questão importante é a de saber se as Notas AGU/JUD-10/2003 e AGU/JU-1/2006 equivalem à </w:t>
      </w:r>
      <w:r w:rsidRPr="00E37B67">
        <w:rPr>
          <w:i/>
          <w:iCs/>
        </w:rPr>
        <w:t>medida de autoridade administrativa</w:t>
      </w:r>
      <w:r w:rsidRPr="00E37B67">
        <w:t xml:space="preserve">, a que se refere o § 2º do art. 54 da Lei do Processo Administrativo, para ser consideradas como exercício do direito de anular. </w:t>
      </w:r>
    </w:p>
    <w:p w:rsidR="00E91818" w:rsidRPr="00E37B67" w:rsidRDefault="00E91818" w:rsidP="006E0DC8">
      <w:pPr>
        <w:pStyle w:val="Pargrafo"/>
      </w:pPr>
      <w:r w:rsidRPr="00E37B67">
        <w:t>É cediço que o ato administrativo só pode ser revogado ou anulado pela mesma autoridade administrativa que o editou, ou por seu superior hierárquico, ou evidentemente, no caso de anulação, pelo Poder Judiciário.</w:t>
      </w:r>
    </w:p>
    <w:p w:rsidR="00E91818" w:rsidRPr="00E37B67" w:rsidRDefault="00E91818" w:rsidP="006E0DC8">
      <w:pPr>
        <w:pStyle w:val="Pargrafo"/>
      </w:pPr>
      <w:r w:rsidRPr="00E37B67">
        <w:t xml:space="preserve">A lição é antiga: </w:t>
      </w:r>
      <w:r w:rsidRPr="00E37B67">
        <w:rPr>
          <w:i/>
          <w:iCs/>
        </w:rPr>
        <w:t>A faculdade de anular os atos ilegais é ampla para a Administração, podendo ser exercida de ofício, pelo mesmo agente que os praticou, como por autoridade superior que venha ter conhecimento da ilegalidade através de recurso interno, ou mesmo por avocação, nos casos regulamentares.</w:t>
      </w:r>
      <w:r w:rsidRPr="00E37B67">
        <w:t xml:space="preserve"> (HELY LOPES MEIRELLES, Direito Administrativo Brasileiro, RT, 14ª Ed., 1989, p. 184).</w:t>
      </w:r>
    </w:p>
    <w:p w:rsidR="00E91818" w:rsidRPr="00E37B67" w:rsidRDefault="00E91818" w:rsidP="006E0DC8">
      <w:pPr>
        <w:pStyle w:val="Pargrafo"/>
      </w:pPr>
      <w:r w:rsidRPr="00E37B67">
        <w:t xml:space="preserve">As Notas da AGU, portanto, por constituírem opinativos jurídicos, não se qualificam como medida de autoridade administrativa inaugural do direito de anular os atos de anistia. </w:t>
      </w:r>
    </w:p>
    <w:p w:rsidR="00E91818" w:rsidRPr="00E37B67" w:rsidRDefault="00E91818" w:rsidP="006E0DC8">
      <w:pPr>
        <w:pStyle w:val="Pargrafo"/>
      </w:pPr>
      <w:r w:rsidRPr="00E37B67">
        <w:t xml:space="preserve">Nos termos da Lei n. 10.559, de 2002, que regulamenta o art. 8º do Ato das Disposições Constitucionais Transitórias, foi atribuída ao Ministro de Estado da Justiça a competência para </w:t>
      </w:r>
      <w:r w:rsidRPr="00E37B67">
        <w:rPr>
          <w:i/>
          <w:iCs/>
        </w:rPr>
        <w:t>decidir a respeito dos requerimentos fundados nesta lei</w:t>
      </w:r>
      <w:r w:rsidRPr="00E37B67">
        <w:t>, cf. art. 10</w:t>
      </w:r>
      <w:r w:rsidRPr="00E37B67">
        <w:rPr>
          <w:i/>
          <w:iCs/>
        </w:rPr>
        <w:t>.</w:t>
      </w:r>
    </w:p>
    <w:p w:rsidR="00E91818" w:rsidRPr="00E37B67" w:rsidRDefault="00E91818" w:rsidP="006E0DC8">
      <w:pPr>
        <w:pStyle w:val="Pargrafo"/>
      </w:pPr>
      <w:r w:rsidRPr="00E37B67">
        <w:t xml:space="preserve">A condição de anistiado foi reconhecida por ato do Ministro de Estado da Justiça, </w:t>
      </w:r>
      <w:r w:rsidRPr="00E37B67">
        <w:rPr>
          <w:i/>
          <w:iCs/>
        </w:rPr>
        <w:t>com fulcro no artigo 10 da Lei n. 10.559/02</w:t>
      </w:r>
      <w:r w:rsidRPr="00E37B67">
        <w:t>, conforme declinado no próprio ato ministerial.</w:t>
      </w:r>
    </w:p>
    <w:p w:rsidR="00E91818" w:rsidRPr="00E37B67" w:rsidRDefault="00E91818" w:rsidP="006E0DC8">
      <w:pPr>
        <w:pStyle w:val="Pargrafo"/>
      </w:pPr>
      <w:r w:rsidRPr="00E37B67">
        <w:t xml:space="preserve">Portanto, só medidas da mesma autoridade político-funcional, não necessariamente de igual natureza (portaria), se equivalem às </w:t>
      </w:r>
      <w:r w:rsidRPr="00E37B67">
        <w:rPr>
          <w:i/>
          <w:iCs/>
        </w:rPr>
        <w:t>de autoridade administrativa</w:t>
      </w:r>
      <w:r w:rsidRPr="00E37B67">
        <w:t xml:space="preserve"> que importem exercício do direito de anular o ato adotado pelo Ministro de Estado da Justiça a obstar o decurso do prazo de </w:t>
      </w:r>
      <w:proofErr w:type="gramStart"/>
      <w:r w:rsidRPr="00E37B67">
        <w:t>5</w:t>
      </w:r>
      <w:proofErr w:type="gramEnd"/>
      <w:r w:rsidRPr="00E37B67">
        <w:t xml:space="preserve"> (cinco) anos concedido à Administração para a anulação dos seus próprios atos.</w:t>
      </w:r>
    </w:p>
    <w:p w:rsidR="00E91818" w:rsidRPr="00E37B67" w:rsidRDefault="00E91818" w:rsidP="006E0DC8">
      <w:pPr>
        <w:pStyle w:val="Pargrafo"/>
      </w:pPr>
      <w:r w:rsidRPr="00E37B67">
        <w:t xml:space="preserve">O Col. Superior Tribunal de Justiça, no Mandado de Segurança n. 18.606-DF, relator para acórdão Ministro ARNALDO ESTEVES, decidiu que </w:t>
      </w:r>
    </w:p>
    <w:p w:rsidR="00E91818" w:rsidRPr="00E37B67" w:rsidRDefault="00E91818" w:rsidP="006E0DC8">
      <w:pPr>
        <w:pStyle w:val="Transcrio"/>
      </w:pPr>
      <w:r w:rsidRPr="00E37B67">
        <w:t xml:space="preserve">As NOTAS AGU/JD-10/2003 e AGU/JD-1/2006 não se enquadram na definição de "medida de autoridade administrativa" no sentido sob exame, haja vista sua natureza de pareceres jurídicos, de caráter facultativo, formulados pelos órgãos consultivos, com trâmites internos, genéricos, os quais não se dirigem, especificamente, a quaisquer dos anistiados sob o pálio da Súmula Administrativa nº 2002.07.0003 da Comissão de Anistia. Manifestações genéricas não podem obstar a fluência do prazo decadencial a favor de cada anistiado, que já contava com o seu direito individual subjetivado, materializado, consubstanciado em ato administrativo da autoridade competente, o </w:t>
      </w:r>
      <w:proofErr w:type="gramStart"/>
      <w:r w:rsidRPr="00E37B67">
        <w:t>Sr.</w:t>
      </w:r>
      <w:proofErr w:type="gramEnd"/>
      <w:r w:rsidRPr="00E37B67">
        <w:t xml:space="preserve"> Ministro da Justiça, subscritor da respectiva Portaria concessiva de tal benefício legal, militando, em seu prol, os princípios da legalidade, boa-fé e legitimidade, em consonância com a ordem jurídica em vigor.</w:t>
      </w:r>
    </w:p>
    <w:p w:rsidR="00E91818" w:rsidRPr="00E37B67" w:rsidRDefault="00E91818" w:rsidP="006E0DC8">
      <w:pPr>
        <w:pStyle w:val="Transcrio"/>
      </w:pPr>
      <w:r w:rsidRPr="00E37B67">
        <w:t xml:space="preserve">(PRIMEIRA SEÇÃO, julgado em 10/04/2013, </w:t>
      </w:r>
      <w:proofErr w:type="spellStart"/>
      <w:proofErr w:type="gramStart"/>
      <w:r w:rsidRPr="00E37B67">
        <w:t>DJe</w:t>
      </w:r>
      <w:proofErr w:type="spellEnd"/>
      <w:proofErr w:type="gramEnd"/>
      <w:r w:rsidRPr="00E37B67">
        <w:t xml:space="preserve"> 28/06/2013).</w:t>
      </w:r>
    </w:p>
    <w:p w:rsidR="00E91818" w:rsidRPr="00E37B67" w:rsidRDefault="00E91818" w:rsidP="006E0DC8">
      <w:pPr>
        <w:pStyle w:val="Pargrafo"/>
        <w:spacing w:before="240"/>
      </w:pPr>
      <w:r w:rsidRPr="00E37B67">
        <w:t xml:space="preserve">Assentou-se no mesmo julgado que devem ser consideradas como </w:t>
      </w:r>
      <w:r w:rsidRPr="00E37B67">
        <w:rPr>
          <w:i/>
          <w:iCs/>
        </w:rPr>
        <w:t>exercício do direito de anular</w:t>
      </w:r>
      <w:r w:rsidRPr="00E37B67">
        <w:t xml:space="preserve"> o ato administrativo apenas as medidas concretas de </w:t>
      </w:r>
      <w:r w:rsidRPr="00E37B67">
        <w:rPr>
          <w:i/>
          <w:iCs/>
        </w:rPr>
        <w:t>impugnação à validade do ato</w:t>
      </w:r>
      <w:r w:rsidRPr="00E37B67">
        <w:t xml:space="preserve">, tomadas pelo Ministro de Estado da Justiça - autoridade que, assessorada pela Comissão de </w:t>
      </w:r>
      <w:r w:rsidRPr="00E37B67">
        <w:rPr>
          <w:rStyle w:val="highlightbrs"/>
        </w:rPr>
        <w:t>Anistia,</w:t>
      </w:r>
      <w:r w:rsidRPr="00E37B67">
        <w:t xml:space="preserve"> tem competência exclusiva para decidir as questões relacionadas à concessão ou revogação das </w:t>
      </w:r>
      <w:r w:rsidRPr="00E37B67">
        <w:rPr>
          <w:rStyle w:val="highlightbrs"/>
        </w:rPr>
        <w:t>anistias</w:t>
      </w:r>
      <w:r w:rsidRPr="00E37B67">
        <w:t xml:space="preserve"> políticas, nos termos do art. 1º, § 2º, III, da Lei 9.784/99 c/c os </w:t>
      </w:r>
      <w:proofErr w:type="spellStart"/>
      <w:r w:rsidRPr="00E37B67">
        <w:t>arts</w:t>
      </w:r>
      <w:proofErr w:type="spellEnd"/>
      <w:r w:rsidRPr="00E37B67">
        <w:t xml:space="preserve">. 10 e 12, </w:t>
      </w:r>
      <w:r w:rsidRPr="00E37B67">
        <w:rPr>
          <w:i/>
          <w:iCs/>
        </w:rPr>
        <w:t>caput</w:t>
      </w:r>
      <w:r w:rsidRPr="00E37B67">
        <w:t>, da Lei 10.559/02.</w:t>
      </w:r>
    </w:p>
    <w:p w:rsidR="00E91818" w:rsidRPr="00E37B67" w:rsidRDefault="00E91818" w:rsidP="006E0DC8">
      <w:pPr>
        <w:pStyle w:val="Pargrafo"/>
        <w:rPr>
          <w:b/>
          <w:bCs/>
        </w:rPr>
      </w:pPr>
      <w:r w:rsidRPr="00E37B67">
        <w:t>Outros julgados do STJ vieram no mesmo sentido e com referência expressa ao Mandado de Segurança n. 18.606/DF, como seguem</w:t>
      </w:r>
      <w:r w:rsidRPr="00E37B67">
        <w:rPr>
          <w:b/>
          <w:bCs/>
        </w:rPr>
        <w:t>:</w:t>
      </w:r>
    </w:p>
    <w:p w:rsidR="00E91818" w:rsidRPr="00E37B67" w:rsidRDefault="00E91818" w:rsidP="006E0DC8">
      <w:pPr>
        <w:pStyle w:val="Transcrio"/>
      </w:pPr>
      <w:r w:rsidRPr="00E37B67">
        <w:t>SEGURANÇA. ANULAÇÃO DA PORTARIA CONCESSIVA DA ANISTIA POLÍTICA. MILITAR DA AERONÁUTICA. PORTARIA N. 1.104/GM3/1964. DECADÊNCIA DO DIREITO DE REVISÃO. POSICIONAMENTO SEDIMENTADO PELA PRIMEIRA SEÇÃO.</w:t>
      </w:r>
    </w:p>
    <w:p w:rsidR="00E91818" w:rsidRPr="00E37B67" w:rsidRDefault="00E91818" w:rsidP="006E0DC8">
      <w:pPr>
        <w:pStyle w:val="Transcrio"/>
      </w:pPr>
      <w:r w:rsidRPr="00E37B67">
        <w:lastRenderedPageBreak/>
        <w:t>1. O caso em foco versa sobre mandado de segurança impetrado contra a anulação da Portaria concessiva da anistia política outrora conferida com base na Portaria n. 1.104/GM3/1964.</w:t>
      </w:r>
    </w:p>
    <w:p w:rsidR="00E91818" w:rsidRPr="00E37B67" w:rsidRDefault="00E91818" w:rsidP="006E0DC8">
      <w:pPr>
        <w:pStyle w:val="Transcrio"/>
      </w:pPr>
      <w:r w:rsidRPr="00E37B67">
        <w:t>2. A Primeira Seção, no julgamento do MS 18.606/DF, decidiu, por maioria de votos, que a via mandamental é adequada ao exame acerca da ocorrência, ou não, de decadência, para que a Administração anule o ato concessivo da anistia política outrora conferida com base na Portaria 1.104/GM3/1964, e concedeu a segurança por ter entendido que, naquele caso específico, a decadência realmente se aperfeiçoou.</w:t>
      </w:r>
    </w:p>
    <w:p w:rsidR="00E91818" w:rsidRPr="00E37B67" w:rsidRDefault="00E91818" w:rsidP="006E0DC8">
      <w:pPr>
        <w:pStyle w:val="Transcrio"/>
      </w:pPr>
      <w:r w:rsidRPr="00E37B67">
        <w:t xml:space="preserve">3. Na presente hipótese, constata-se que a Portaria individual n. 1.875, que concedeu a anistia ao impetrante, data de 14/7/2004, e a Portaria n. 946, que anulou a primeira, foi editada em 28/5/2012. Portanto, transcorreu lapso superior a </w:t>
      </w:r>
      <w:proofErr w:type="gramStart"/>
      <w:r w:rsidRPr="00E37B67">
        <w:t>7</w:t>
      </w:r>
      <w:proofErr w:type="gramEnd"/>
      <w:r w:rsidRPr="00E37B67">
        <w:t xml:space="preserve"> (sete) anos entre um ato e outro. Logo, ressoa evidente o aperfeiçoamento da decadência para revisar o ato concessivo da anistia.</w:t>
      </w:r>
    </w:p>
    <w:p w:rsidR="00E91818" w:rsidRPr="00E37B67" w:rsidRDefault="00E91818" w:rsidP="006E0DC8">
      <w:pPr>
        <w:pStyle w:val="Transcrio"/>
      </w:pPr>
      <w:r w:rsidRPr="00E37B67">
        <w:t>4. Segurança concedida para declarar a nulidade do ato impugnado e restabelecer a condição de militar anistiado do impetrante.</w:t>
      </w:r>
    </w:p>
    <w:p w:rsidR="00E91818" w:rsidRPr="00E37B67" w:rsidRDefault="00E91818" w:rsidP="006E0DC8">
      <w:pPr>
        <w:pStyle w:val="Transcrio"/>
      </w:pPr>
      <w:r w:rsidRPr="00E37B67">
        <w:t xml:space="preserve">(MS 18.996/DF, Rel. Ministro Benedito Gonçalves, Primeira Seção, julgado em 08/10/2014, </w:t>
      </w:r>
      <w:proofErr w:type="spellStart"/>
      <w:proofErr w:type="gramStart"/>
      <w:r w:rsidRPr="00E37B67">
        <w:t>DJe</w:t>
      </w:r>
      <w:proofErr w:type="spellEnd"/>
      <w:proofErr w:type="gramEnd"/>
      <w:r w:rsidRPr="00E37B67">
        <w:t xml:space="preserve"> 14/10/2014)</w:t>
      </w:r>
    </w:p>
    <w:p w:rsidR="00E91818" w:rsidRPr="00E37B67" w:rsidRDefault="00E91818" w:rsidP="006E0DC8">
      <w:pPr>
        <w:pStyle w:val="Transcrio"/>
      </w:pPr>
    </w:p>
    <w:p w:rsidR="00E91818" w:rsidRPr="00E37B67" w:rsidRDefault="00E91818" w:rsidP="006E0DC8">
      <w:pPr>
        <w:pStyle w:val="Transcrio"/>
      </w:pPr>
      <w:r w:rsidRPr="00E37B67">
        <w:t>ADMINISTRATIVO. MILITAR. MANDADO DE SEGURANÇA. ANULAÇÃO DE ATO DE CONCESSÃO DE ANISTIA. DECADÊNCIA.</w:t>
      </w:r>
    </w:p>
    <w:p w:rsidR="00E91818" w:rsidRPr="00E37B67" w:rsidRDefault="00E91818" w:rsidP="006E0DC8">
      <w:pPr>
        <w:pStyle w:val="Transcrio"/>
      </w:pPr>
      <w:r w:rsidRPr="00E37B67">
        <w:t xml:space="preserve">1.   A peça inicial, acompanhada que foi de documentos idôneos - inclusive a cópia do ato </w:t>
      </w:r>
      <w:proofErr w:type="spellStart"/>
      <w:r w:rsidRPr="00E37B67">
        <w:t>coator</w:t>
      </w:r>
      <w:proofErr w:type="spellEnd"/>
      <w:r w:rsidRPr="00E37B67">
        <w:t xml:space="preserve"> -, mostra-se suficiente para afastar o imediato indeferimento previsto no art. 10 da Lei n. 12.016/2009, autorizando, em </w:t>
      </w:r>
      <w:proofErr w:type="spellStart"/>
      <w:r w:rsidRPr="00E37B67">
        <w:t>consequência</w:t>
      </w:r>
      <w:proofErr w:type="spellEnd"/>
      <w:r w:rsidRPr="00E37B67">
        <w:t>, o exame do direito líquido e certo que o impetrante afirma possuir.</w:t>
      </w:r>
    </w:p>
    <w:p w:rsidR="00E91818" w:rsidRPr="00E37B67" w:rsidRDefault="00E91818" w:rsidP="006E0DC8">
      <w:pPr>
        <w:pStyle w:val="Transcrio"/>
      </w:pPr>
      <w:r w:rsidRPr="00E37B67">
        <w:t>2. As demais alegações da autoridade impetrada (legalidade do ato anulador, inconstitucionalidade do ato anulado e inaplicabilidade do art. 54 da Lei n. 9.784/1999 ante o regular exercício do poder revisor) são questões que, tal qual a pretensão ora veiculada - invalidade do ato administrativo que anula concessão de anistia política após o transcurso do prazo decadencial -, foram muitas vezes debatidas nesta Primeira Seção que, após longa discussão quando do julgamento do MS 18.606/DF, do qual foi relator para o acórdão o Ministro Arnaldo Esteves Lima, firmou as premissas que orientaram as decisões posteriores.</w:t>
      </w:r>
    </w:p>
    <w:p w:rsidR="00E91818" w:rsidRPr="00E37B67" w:rsidRDefault="00E91818" w:rsidP="006E0DC8">
      <w:pPr>
        <w:pStyle w:val="Transcrio"/>
      </w:pPr>
      <w:r w:rsidRPr="00E37B67">
        <w:t>3.  O direito da Administração de rever portaria concessiva de anistia é limitado ao prazo decadencial de cinco anos, previsto no art. 54 da Lei n.º 9.784, de 29 de janeiro de 1999, salvo se comprovada a má-fé do destinatário, hipótese sequer alegada na espécie. Precedentes.</w:t>
      </w:r>
    </w:p>
    <w:p w:rsidR="00E91818" w:rsidRPr="00E37B67" w:rsidRDefault="00E91818" w:rsidP="006E0DC8">
      <w:pPr>
        <w:pStyle w:val="Transcrio"/>
      </w:pPr>
      <w:r w:rsidRPr="00E37B67">
        <w:t>4. Segurança concedida para declarar a nulidade do ato impugnado e restabelecer a condição de militar anistiado do impetrante.</w:t>
      </w:r>
    </w:p>
    <w:p w:rsidR="00E91818" w:rsidRPr="00E37B67" w:rsidRDefault="00E91818" w:rsidP="006E0DC8">
      <w:pPr>
        <w:pStyle w:val="Transcrio"/>
      </w:pPr>
      <w:r w:rsidRPr="00E37B67">
        <w:t xml:space="preserve">(MS 18.727/DF, Rel. Ministro Sérgio </w:t>
      </w:r>
      <w:proofErr w:type="spellStart"/>
      <w:r w:rsidRPr="00E37B67">
        <w:t>Kukina</w:t>
      </w:r>
      <w:proofErr w:type="spellEnd"/>
      <w:r w:rsidRPr="00E37B67">
        <w:t xml:space="preserve">, Primeira Seção, julgado em 09/04/2014, </w:t>
      </w:r>
      <w:proofErr w:type="spellStart"/>
      <w:proofErr w:type="gramStart"/>
      <w:r w:rsidRPr="00E37B67">
        <w:t>DJe</w:t>
      </w:r>
      <w:proofErr w:type="spellEnd"/>
      <w:proofErr w:type="gramEnd"/>
      <w:r w:rsidRPr="00E37B67">
        <w:t xml:space="preserve"> 14/04/2014)</w:t>
      </w:r>
    </w:p>
    <w:p w:rsidR="00E91818" w:rsidRDefault="00E91818" w:rsidP="006E0DC8">
      <w:pPr>
        <w:pStyle w:val="Pargrafo"/>
        <w:spacing w:before="240"/>
      </w:pPr>
    </w:p>
    <w:p w:rsidR="00E91818" w:rsidRPr="00E37B67" w:rsidRDefault="00E91818" w:rsidP="006E0DC8">
      <w:pPr>
        <w:pStyle w:val="Pargrafo"/>
        <w:spacing w:before="240"/>
      </w:pPr>
      <w:r w:rsidRPr="00E37B67">
        <w:t>Este Tribunal, por esta Turma, também acolheu a tese da decadência em c</w:t>
      </w:r>
      <w:r>
        <w:t>asos da espécie, cf. Apelação n.</w:t>
      </w:r>
      <w:r w:rsidRPr="00E37B67">
        <w:t xml:space="preserve"> 0015567-76.2009.4.01.3400/DF, de que foi relator o Desembargador Federal KÁSSIO NUNES MARQUES, </w:t>
      </w:r>
      <w:proofErr w:type="spellStart"/>
      <w:r w:rsidRPr="00E37B67">
        <w:t>verbis</w:t>
      </w:r>
      <w:proofErr w:type="spellEnd"/>
      <w:r w:rsidRPr="00E37B67">
        <w:t>:</w:t>
      </w:r>
    </w:p>
    <w:p w:rsidR="00E91818" w:rsidRPr="00E37B67" w:rsidRDefault="00E91818" w:rsidP="006E0DC8">
      <w:pPr>
        <w:pStyle w:val="Transcrio"/>
      </w:pPr>
      <w:r w:rsidRPr="00E37B67">
        <w:t xml:space="preserve">PROCESSUAL CIVIL E ADMINISTRATIVO. APELAÇÃO CÍVEL. MILITAR. REVISÃO DO ATO DE CONCESSÃO DE ANISTIA. OCORRÊNCIA DE DECADÊNCIA DO DIREITO DE ANULAR. ART. 54, DA LEI 9.784/99. PRESCRIÇÃO DO FUNDO DE DIREITO AFASTADA. APLICAÇÃO DA SÚMULA 85 DO STJ.  1. A revisão das portarias concessivas de anistia submete-se à fluência do prazo decadencial previsto no art. 54 da Lei </w:t>
      </w:r>
      <w:r w:rsidRPr="00E37B67">
        <w:lastRenderedPageBreak/>
        <w:t>9.784/99, o qual fixa o lapso de cinco anos para o exercício do direito da Administração Pública de anular os atos administrativos que produzam efeitos favoráveis aos seus destinatários.  2. No caso em questão, a Portaria 3.049, que concedeu anistia ao Autor, data de 30/12/2002 e até a presente data não há notícia de que referido ato foi anulado pela Administração Pública.  3. Embora tenha sido sugerida a revisão da Portaria 3.049 na via administrativa, não foi efetivamente instaurado qualquer procedimento administrativo para revisão do ato, não havendo a ocorrência de medida administrativa que importe em impugnação à validade do ato, a ensejar a aplicação do § 2º, art. 54, da Lei 9.784/99.  4. Mesmo que se considerasse haver regular procedimento para anulação do ato de concessão de anistia, o estabelecimento de prazo para início da anulação não permite que o procedimento perdure indefinidamente, sem conclusão, a pretexto de se ter iniciado tempestivamente. A segurança jurídica, como bem tutelável pela Administração, não conviveria com tamanha instabilidade. Precedente do STJ.  5. O Autor não se insurge contra um ato concreto de efeitos permanentes. Em se tratando de omissão quanto ao cumprimento integral da portaria que declara a condição de anistiado político, tem-se a existência de um ato lesivo que se renova continuamente, pelo que o caso não é de prescrição do fundo de direito. Precedentes do STJ.  6. Apelação e remessa oficial a que se nega provimento.</w:t>
      </w:r>
    </w:p>
    <w:p w:rsidR="00E91818" w:rsidRDefault="00E91818" w:rsidP="006E0DC8">
      <w:pPr>
        <w:pStyle w:val="Transcrio"/>
      </w:pPr>
      <w:r w:rsidRPr="00E37B67">
        <w:t>(e-DJF1 p.40 de 10/12/2012)</w:t>
      </w:r>
      <w:r>
        <w:t>.</w:t>
      </w:r>
    </w:p>
    <w:p w:rsidR="00E91818" w:rsidRPr="00E37B67" w:rsidRDefault="00E91818" w:rsidP="006E0DC8">
      <w:pPr>
        <w:pStyle w:val="Pargrafo"/>
        <w:spacing w:before="240"/>
      </w:pPr>
      <w:r w:rsidRPr="00E37B67">
        <w:t>Portanto, é fora de toda dúvida que a Administração tem o prazo de cinco anos para desconstituir ato administrativo, fixado em lei, prazo que não se sujeita a qualquer causa de suspensão, salvo se praticado com má-fé, do que se não tem notícia nos autos, nem é esse o fundamento da resistência da União.</w:t>
      </w:r>
    </w:p>
    <w:p w:rsidR="00E91818" w:rsidRPr="00E37B67" w:rsidRDefault="00E91818" w:rsidP="006E0DC8">
      <w:pPr>
        <w:pStyle w:val="Pargrafo"/>
      </w:pPr>
      <w:r w:rsidRPr="00E37B67">
        <w:t>A Portaria de concessão da anistia</w:t>
      </w:r>
      <w:r>
        <w:t xml:space="preserve"> do autor, P</w:t>
      </w:r>
      <w:r w:rsidRPr="00E37B67">
        <w:t>ortaria</w:t>
      </w:r>
      <w:r>
        <w:t xml:space="preserve"> n. 2.564, 19/12/2002,</w:t>
      </w:r>
      <w:r w:rsidRPr="00E37B67">
        <w:t xml:space="preserve"> do Ministro da Justiça</w:t>
      </w:r>
      <w:r>
        <w:t xml:space="preserve"> (fl. 68),</w:t>
      </w:r>
      <w:r w:rsidRPr="00E37B67">
        <w:t xml:space="preserve"> foi publicada no Diário Oficial da União de </w:t>
      </w:r>
      <w:r>
        <w:t>20</w:t>
      </w:r>
      <w:r w:rsidRPr="00E37B67">
        <w:t>/</w:t>
      </w:r>
      <w:r>
        <w:t>12</w:t>
      </w:r>
      <w:r w:rsidRPr="00E37B67">
        <w:t>/200</w:t>
      </w:r>
      <w:r>
        <w:t>2</w:t>
      </w:r>
      <w:r w:rsidRPr="00E37B67">
        <w:t xml:space="preserve">. </w:t>
      </w:r>
    </w:p>
    <w:p w:rsidR="00E91818" w:rsidRDefault="00E91818" w:rsidP="006E0DC8">
      <w:pPr>
        <w:pStyle w:val="Pargrafo"/>
      </w:pPr>
      <w:r>
        <w:t xml:space="preserve">A Portaria n. 594, de 12/02/2004, que anulou a concessão da anistia ao autor, foi publicada em 16/02/2004 (fl. 80), ou seja, entre o ato de concessão e a publicação da Portaria Ministerial decorreu prazo inferior a </w:t>
      </w:r>
      <w:proofErr w:type="gramStart"/>
      <w:r>
        <w:t>5</w:t>
      </w:r>
      <w:proofErr w:type="gramEnd"/>
      <w:r>
        <w:t xml:space="preserve"> (cinco) anos, </w:t>
      </w:r>
      <w:r w:rsidRPr="00B21A3A">
        <w:rPr>
          <w:u w:val="single"/>
        </w:rPr>
        <w:t>não tendo</w:t>
      </w:r>
      <w:r>
        <w:rPr>
          <w:u w:val="single"/>
        </w:rPr>
        <w:t xml:space="preserve"> havido, portanto, a decadência do direito de a Administração </w:t>
      </w:r>
      <w:r w:rsidRPr="00B21A3A">
        <w:rPr>
          <w:u w:val="single"/>
        </w:rPr>
        <w:t>anular a portaria de anistia</w:t>
      </w:r>
      <w:r>
        <w:t>.</w:t>
      </w:r>
    </w:p>
    <w:p w:rsidR="00E91818" w:rsidRPr="00E37B67" w:rsidRDefault="00E91818" w:rsidP="006E0DC8">
      <w:pPr>
        <w:pStyle w:val="Pargrafo"/>
        <w:spacing w:before="240"/>
        <w:rPr>
          <w:b/>
          <w:bCs/>
        </w:rPr>
      </w:pPr>
      <w:r w:rsidRPr="00E37B67">
        <w:rPr>
          <w:b/>
          <w:bCs/>
        </w:rPr>
        <w:t>A questão da anistia dos ex-cabos da Aeronáutica</w:t>
      </w:r>
    </w:p>
    <w:p w:rsidR="00E91818" w:rsidRPr="00E37B67" w:rsidRDefault="00E91818" w:rsidP="007027C0">
      <w:pPr>
        <w:pStyle w:val="Pargrafo"/>
      </w:pPr>
      <w:r w:rsidRPr="00E37B67">
        <w:t xml:space="preserve">A questão concerne à concessão de anistia a ex-cabos da Aeronáutica que foram atingidos pelos efeitos da Portaria n. 1.104/GM3 de 1964, do Ministério da Aeronáutica. </w:t>
      </w:r>
    </w:p>
    <w:p w:rsidR="00E91818" w:rsidRPr="00E37B67" w:rsidRDefault="00E91818" w:rsidP="007027C0">
      <w:pPr>
        <w:pStyle w:val="Pargrafo"/>
      </w:pPr>
      <w:r w:rsidRPr="00E37B67">
        <w:t xml:space="preserve">A Comissão de Anistia editou a Súmula n. 2002.07.0003, a dizer que </w:t>
      </w:r>
      <w:r w:rsidRPr="00E37B67">
        <w:rPr>
          <w:i/>
          <w:iCs/>
        </w:rPr>
        <w:t>A Portaria 1.104, de 12 de outubro de 1964, expedida pelo Senhor Ministro de Estado da Aeronáutica, é ato de exceção, de natureza exclusivamente política.</w:t>
      </w:r>
      <w:r w:rsidRPr="00E37B67">
        <w:t xml:space="preserve"> Em decorrência dessa conclusão, inumeráveis anistias foram concedidas.</w:t>
      </w:r>
    </w:p>
    <w:p w:rsidR="00E91818" w:rsidRPr="00E37B67" w:rsidRDefault="00E91818" w:rsidP="007027C0">
      <w:pPr>
        <w:pStyle w:val="Pargrafo"/>
      </w:pPr>
      <w:r w:rsidRPr="00E37B67">
        <w:t xml:space="preserve">Desde cedo, porém, no âmbito da Administração Federal, discutiu-se quanto ao alcance real da referida portaria ministerial, concluindo-se que muitos militares jamais foram alvos de exclusão da Força por motivação política, mas tão somente por </w:t>
      </w:r>
      <w:proofErr w:type="gramStart"/>
      <w:r w:rsidRPr="00E37B67">
        <w:t>implemento</w:t>
      </w:r>
      <w:proofErr w:type="gramEnd"/>
      <w:r w:rsidRPr="00E37B67">
        <w:t xml:space="preserve"> do tempo de serviço de permanência no serviço ativo, conforme prazo fixado na vetusta portaria.</w:t>
      </w:r>
    </w:p>
    <w:p w:rsidR="00E91818" w:rsidRPr="00E37B67" w:rsidRDefault="00E91818" w:rsidP="007027C0">
      <w:pPr>
        <w:pStyle w:val="Pargrafo"/>
      </w:pPr>
      <w:r w:rsidRPr="00E37B67">
        <w:t xml:space="preserve">A partir daí, empreenderam-se várias iniciativas de revisão das anistias concedidas com fundamento no referido entendimento sumulado da Comissão de Anistia. </w:t>
      </w:r>
    </w:p>
    <w:p w:rsidR="00E91818" w:rsidRPr="00E37B67" w:rsidRDefault="00E91818" w:rsidP="007027C0">
      <w:pPr>
        <w:pStyle w:val="Pargrafo"/>
      </w:pPr>
      <w:r w:rsidRPr="00E37B67">
        <w:t xml:space="preserve">No âmbito judicial, consolidou-se o entendimento de que a Portaria n. 1.104/GM3 de 1964, por possuir caráter impessoal, genérico e abstrato, aplicáveis a todos os militares que tenham ingressado na FAB quando tal portaria já se encontrava em vigor, não deve, por si só, ser enquadrada no conceito jurídico de arbitrariedade e exceção previsto na Lei n. 10.559/2002. Essa portaria estabeleceu novas regras para as prorrogações do serviço </w:t>
      </w:r>
      <w:r w:rsidRPr="00E37B67">
        <w:rPr>
          <w:rStyle w:val="highlightbrs"/>
        </w:rPr>
        <w:t>militar</w:t>
      </w:r>
      <w:r w:rsidRPr="00E37B67">
        <w:t xml:space="preserve"> </w:t>
      </w:r>
      <w:proofErr w:type="gramStart"/>
      <w:r w:rsidRPr="00E37B67">
        <w:t>dos praças</w:t>
      </w:r>
      <w:proofErr w:type="gramEnd"/>
      <w:r w:rsidRPr="00E37B67">
        <w:t xml:space="preserve">, havendo previsão de que os cabos somente poderiam obter prorrogação do tempo de serviço por um </w:t>
      </w:r>
      <w:r w:rsidRPr="00E37B67">
        <w:lastRenderedPageBreak/>
        <w:t xml:space="preserve">período de até oito anos, após o qual seriam licenciados, de modo que quem ingressou na Força posteriormente à sua vigência, não poderia ser por ela atingido sob o viés político que se lhe atribuiu. </w:t>
      </w:r>
    </w:p>
    <w:p w:rsidR="00E91818" w:rsidRPr="00E37B67" w:rsidRDefault="00E91818" w:rsidP="007027C0">
      <w:pPr>
        <w:pStyle w:val="Pargrafo"/>
      </w:pPr>
      <w:r w:rsidRPr="00E37B67">
        <w:t xml:space="preserve">Administrativamente, reconheceu-se que os ex-cabos incorporados anteriormente à vigência da Portaria n. 1.104/GM3-64 têm direito à </w:t>
      </w:r>
      <w:r w:rsidRPr="00E37B67">
        <w:rPr>
          <w:rStyle w:val="highlightbrs"/>
        </w:rPr>
        <w:t>anistia,</w:t>
      </w:r>
      <w:r w:rsidRPr="00E37B67">
        <w:t xml:space="preserve"> pois teriam sido prejudicados com a restrição de direito anteriormente concedido, caso em que a motivação do ato teria sido exclusivamente política. </w:t>
      </w:r>
    </w:p>
    <w:p w:rsidR="00E91818" w:rsidRPr="00E37B67" w:rsidRDefault="00E91818" w:rsidP="007027C0">
      <w:pPr>
        <w:pStyle w:val="Pargrafo"/>
      </w:pPr>
      <w:r w:rsidRPr="00E37B67">
        <w:t xml:space="preserve">Não obstante, a Comissão de Anistia considerou que o próprio ato do Ministro da Aeronáutica tinha motivação política, </w:t>
      </w:r>
      <w:proofErr w:type="spellStart"/>
      <w:r w:rsidRPr="001C57AD">
        <w:rPr>
          <w:i/>
          <w:iCs/>
        </w:rPr>
        <w:t>verbis</w:t>
      </w:r>
      <w:proofErr w:type="spellEnd"/>
      <w:r w:rsidRPr="00E37B67">
        <w:t xml:space="preserve">: </w:t>
      </w:r>
    </w:p>
    <w:p w:rsidR="00E91818" w:rsidRDefault="00E91818" w:rsidP="007027C0">
      <w:pPr>
        <w:pStyle w:val="Transcrio"/>
      </w:pPr>
      <w:r w:rsidRPr="00E37B67">
        <w:t>A Portaria 1.104, de 12 de outubro de 1964, expedida pelo Senhor Ministro de Estado da Aeronáutica, é ato de exceção, de natureza exclusivamente política.</w:t>
      </w:r>
    </w:p>
    <w:p w:rsidR="00E91818" w:rsidRDefault="00E91818" w:rsidP="006E0DC8">
      <w:pPr>
        <w:pStyle w:val="Pargrafo"/>
        <w:rPr>
          <w:rFonts w:eastAsia="MS Mincho"/>
        </w:rPr>
      </w:pPr>
    </w:p>
    <w:p w:rsidR="00E91818" w:rsidRDefault="00E91818" w:rsidP="006E0DC8">
      <w:pPr>
        <w:pStyle w:val="Pargrafo"/>
        <w:rPr>
          <w:rFonts w:eastAsia="MS Mincho"/>
        </w:rPr>
      </w:pPr>
      <w:r>
        <w:rPr>
          <w:rFonts w:eastAsia="MS Mincho"/>
        </w:rPr>
        <w:t>Por outro lado, os militares que ingressaram no serviço militar em data posterior à edição da referida norma não têm direito ao reconhecimento da condição de anistiado político.</w:t>
      </w:r>
    </w:p>
    <w:p w:rsidR="00E91818" w:rsidRDefault="00E91818" w:rsidP="006E0DC8">
      <w:pPr>
        <w:pStyle w:val="Pargrafo"/>
        <w:rPr>
          <w:rFonts w:eastAsia="MS Mincho"/>
        </w:rPr>
      </w:pPr>
      <w:r>
        <w:rPr>
          <w:rFonts w:eastAsia="MS Mincho"/>
        </w:rPr>
        <w:t xml:space="preserve">No mesmo sentido tem decidido esta Corte: </w:t>
      </w:r>
      <w:r>
        <w:rPr>
          <w:rFonts w:eastAsia="MS Mincho"/>
          <w:i/>
          <w:iCs/>
        </w:rPr>
        <w:t xml:space="preserve">O licenciamento por conclusão de tempo de serviço militar temporário de ex-cabo da Aeronáutica </w:t>
      </w:r>
      <w:r>
        <w:rPr>
          <w:rFonts w:eastAsia="MS Mincho"/>
          <w:b/>
          <w:bCs/>
          <w:i/>
          <w:iCs/>
        </w:rPr>
        <w:t>incorporado após a edição da Portaria</w:t>
      </w:r>
      <w:r>
        <w:rPr>
          <w:rFonts w:eastAsia="MS Mincho"/>
          <w:i/>
          <w:iCs/>
        </w:rPr>
        <w:t xml:space="preserve"> n° 1.104/GM3-1964 e licenciado por conclusão de tempo de serviço não caracteriza motivação política</w:t>
      </w:r>
      <w:r>
        <w:rPr>
          <w:rFonts w:eastAsia="MS Mincho"/>
        </w:rPr>
        <w:t xml:space="preserve"> (AC 200634000259310, Rel. Desembargadora Federal Neuza Maria Alves da Silva, Segunda Turma, DJ de 11/04/2011). Mencionem-se, ainda:</w:t>
      </w:r>
    </w:p>
    <w:p w:rsidR="00E91818" w:rsidRDefault="00E91818" w:rsidP="006E0DC8">
      <w:pPr>
        <w:pStyle w:val="Transcrio"/>
        <w:rPr>
          <w:rFonts w:eastAsia="MS Mincho"/>
        </w:rPr>
      </w:pPr>
      <w:r>
        <w:rPr>
          <w:rFonts w:eastAsia="MS Mincho"/>
        </w:rPr>
        <w:t>AÇÃO RESCISÓRIA. PROCESSUAL CIVIL E ADMINISTRATIVO. MILITAR. CABO. INCORPORAÇÃO EM 12.01.1970. LICENCIAMENTO DAS FILEIRAS DO EXÉRCITO POR CONCLUSÃO DE TEMPO DE SERVIÇO. PORTARIA Nº. 1.104GM3/1964. MOTIVAÇÃO POLÍTICA. NÃO COMPROVAÇÃO. ANISTIA. ART. 8º, ADCT. IMPOSSIBILIDADE. HONORÁRIOS ADVOCATÍCIOS. PEDIDO RESCISÓRIO PROCEDENTE. (6)</w:t>
      </w:r>
      <w:proofErr w:type="gramStart"/>
      <w:r>
        <w:rPr>
          <w:rFonts w:eastAsia="MS Mincho"/>
        </w:rPr>
        <w:t xml:space="preserve">  </w:t>
      </w:r>
      <w:proofErr w:type="gramEnd"/>
      <w:r>
        <w:rPr>
          <w:rFonts w:eastAsia="MS Mincho"/>
        </w:rPr>
        <w:t xml:space="preserve">1. O Cabo que ingressou na Força Aérea Brasileira em data posterior à edição da Portaria nº 1.104/GM3 - 1964 não </w:t>
      </w:r>
      <w:proofErr w:type="gramStart"/>
      <w:r>
        <w:rPr>
          <w:rFonts w:eastAsia="MS Mincho"/>
        </w:rPr>
        <w:t>tem</w:t>
      </w:r>
      <w:proofErr w:type="gramEnd"/>
      <w:r>
        <w:rPr>
          <w:rFonts w:eastAsia="MS Mincho"/>
        </w:rPr>
        <w:t xml:space="preserve"> direito à anistia, prevista no artigo 8º do Ato das Disposições Transitórias e na Lei n. 10.559/2002, se licenciado por conclusão do tempo de serviço sem qualquer comprovação de motivação política.  2. Precedentes: STJ: </w:t>
      </w:r>
      <w:proofErr w:type="spellStart"/>
      <w:proofErr w:type="gramStart"/>
      <w:r>
        <w:rPr>
          <w:rFonts w:eastAsia="MS Mincho"/>
        </w:rPr>
        <w:t>AgRg</w:t>
      </w:r>
      <w:proofErr w:type="spellEnd"/>
      <w:proofErr w:type="gramEnd"/>
      <w:r>
        <w:rPr>
          <w:rFonts w:eastAsia="MS Mincho"/>
        </w:rPr>
        <w:t xml:space="preserve"> no </w:t>
      </w:r>
      <w:proofErr w:type="spellStart"/>
      <w:r>
        <w:rPr>
          <w:rFonts w:eastAsia="MS Mincho"/>
        </w:rPr>
        <w:t>REsp</w:t>
      </w:r>
      <w:proofErr w:type="spellEnd"/>
      <w:r>
        <w:rPr>
          <w:rFonts w:eastAsia="MS Mincho"/>
        </w:rPr>
        <w:t xml:space="preserve"> 1194305/RJ, Rel. Ministro HAMILTON CARVALHIDO, PRIMEIRA TURMA, julgado em 14/12/2010, </w:t>
      </w:r>
      <w:proofErr w:type="spellStart"/>
      <w:r>
        <w:rPr>
          <w:rFonts w:eastAsia="MS Mincho"/>
        </w:rPr>
        <w:t>DJe</w:t>
      </w:r>
      <w:proofErr w:type="spellEnd"/>
      <w:r>
        <w:rPr>
          <w:rFonts w:eastAsia="MS Mincho"/>
        </w:rPr>
        <w:t xml:space="preserve"> 02/02/2011; MS 10.324/DF, Rel. Ministro HAROLDO RODRIGUES (DESEMBARGADOR CONVOCADO DO TJ/CE), TERCEIRA SEÇÃO, julgado em 23/06/2010, </w:t>
      </w:r>
      <w:proofErr w:type="spellStart"/>
      <w:r>
        <w:rPr>
          <w:rFonts w:eastAsia="MS Mincho"/>
        </w:rPr>
        <w:t>DJe</w:t>
      </w:r>
      <w:proofErr w:type="spellEnd"/>
      <w:r>
        <w:rPr>
          <w:rFonts w:eastAsia="MS Mincho"/>
        </w:rPr>
        <w:t xml:space="preserve"> 02/08/2010; MS 9.815/DF, Rel. Ministra LAURITA VAZ, TERCEIRA SEÇÃO, julgado em 28/10/2009, </w:t>
      </w:r>
      <w:proofErr w:type="spellStart"/>
      <w:r>
        <w:rPr>
          <w:rFonts w:eastAsia="MS Mincho"/>
        </w:rPr>
        <w:t>DJe</w:t>
      </w:r>
      <w:proofErr w:type="spellEnd"/>
      <w:r>
        <w:rPr>
          <w:rFonts w:eastAsia="MS Mincho"/>
        </w:rPr>
        <w:t xml:space="preserve"> 02/12/2009.  3. Honorários advocatícios fixados em R$ 1.000,00 (mil reais), nos termos do art. 20, §§ 3º e 4º, CPC, haja vista a singeleza da matéria debatida. Todavia, fica suspensa essa condenação, nos termos da Lei 1.060/50, em face da justiça gratuita deferida nos autos da ação ordinária, aplicando-se também </w:t>
      </w:r>
      <w:proofErr w:type="gramStart"/>
      <w:r>
        <w:rPr>
          <w:rFonts w:eastAsia="MS Mincho"/>
        </w:rPr>
        <w:t>à</w:t>
      </w:r>
      <w:proofErr w:type="gramEnd"/>
      <w:r>
        <w:rPr>
          <w:rFonts w:eastAsia="MS Mincho"/>
        </w:rPr>
        <w:t xml:space="preserve"> presente ação rescisória.  4. Ação rescisória procedente.</w:t>
      </w:r>
    </w:p>
    <w:p w:rsidR="00E91818" w:rsidRDefault="00E91818" w:rsidP="006E0DC8">
      <w:pPr>
        <w:pStyle w:val="Transcrio"/>
        <w:rPr>
          <w:rFonts w:eastAsia="MS Mincho"/>
        </w:rPr>
      </w:pPr>
      <w:r>
        <w:rPr>
          <w:rFonts w:eastAsia="MS Mincho"/>
        </w:rPr>
        <w:t xml:space="preserve">(AR 0053633-14.2007.4.01.0000/DF, Rel. Desembargadora Federal Ângela </w:t>
      </w:r>
      <w:proofErr w:type="spellStart"/>
      <w:r>
        <w:rPr>
          <w:rFonts w:eastAsia="MS Mincho"/>
        </w:rPr>
        <w:t>Catão</w:t>
      </w:r>
      <w:proofErr w:type="spellEnd"/>
      <w:r>
        <w:rPr>
          <w:rFonts w:eastAsia="MS Mincho"/>
        </w:rPr>
        <w:t>, Primeira Seção, e-DJF1 p.825 de 28/02/2014)</w:t>
      </w:r>
    </w:p>
    <w:p w:rsidR="00E91818" w:rsidRDefault="00E91818" w:rsidP="006E0DC8">
      <w:pPr>
        <w:pStyle w:val="Transcrio"/>
        <w:rPr>
          <w:rFonts w:eastAsia="MS Mincho"/>
        </w:rPr>
      </w:pPr>
    </w:p>
    <w:p w:rsidR="00E91818" w:rsidRDefault="00E91818" w:rsidP="006E0DC8">
      <w:pPr>
        <w:pStyle w:val="Transcrio"/>
        <w:rPr>
          <w:rFonts w:eastAsia="MS Mincho"/>
        </w:rPr>
      </w:pPr>
      <w:r>
        <w:rPr>
          <w:rFonts w:eastAsia="MS Mincho"/>
        </w:rPr>
        <w:t xml:space="preserve">ADMINISTRATIVO. CONSTITUCIONAL. ANISTIA. ART. 8º DO ADCT. LEI 10.559/2002. MILITAR TEMPORÁRIO. INGRESSO NA AERONÁUTICA APÓS EDIÇÃO DA PORTARIA Nº 1.104-GM3/1964. LICENCIAMENTO. NÃO COMPROVAÇÃO DE MOTIVAÇÃO EXCLUSIVAMENTE POLÍTICA.  1. O art. 8º do ADCT/88 previu a concessão de anistia àqueles que foram atingidos, em decorrência de motivação exclusivamente política, por atos de exceção, institucionais ou complementares, praticados durante o regime ditatorial.  2. Os autores foram incorporados à Força Aérea Brasileira entre os anos de 1965 e 1970 e licenciados do serviço ativo entre 1970 e 1979, </w:t>
      </w:r>
      <w:r>
        <w:rPr>
          <w:rFonts w:eastAsia="MS Mincho"/>
        </w:rPr>
        <w:lastRenderedPageBreak/>
        <w:t xml:space="preserve">por conclusão de tempo de </w:t>
      </w:r>
      <w:proofErr w:type="gramStart"/>
      <w:r>
        <w:rPr>
          <w:rFonts w:eastAsia="MS Mincho"/>
        </w:rPr>
        <w:t>serviço(</w:t>
      </w:r>
      <w:proofErr w:type="gramEnd"/>
      <w:r>
        <w:rPr>
          <w:rFonts w:eastAsia="MS Mincho"/>
        </w:rPr>
        <w:t xml:space="preserve">ff. 24/41).  3. Não tem direito à anistia prevista no artigo 8º do Ato das Disposições Transitórias o cabo que tenha ingressado na Força Aérea Brasileira em data posterior à edição da Portaria nº. 1.104/GM3 - 1964, tendo em vista que o afastamento do serviço militar decorrente de conclusão do tempo de serviço, não caracteriza motivação política. Precedentes da Corte.  4. Apelação desprovida. </w:t>
      </w:r>
    </w:p>
    <w:p w:rsidR="00E91818" w:rsidRDefault="00E91818" w:rsidP="006E0DC8">
      <w:pPr>
        <w:pStyle w:val="Transcrio"/>
        <w:rPr>
          <w:rFonts w:eastAsia="MS Mincho"/>
        </w:rPr>
      </w:pPr>
      <w:r>
        <w:rPr>
          <w:rFonts w:eastAsia="MS Mincho"/>
        </w:rPr>
        <w:t>(AC 0002671-40.2005.4.01.3400 / DF, Rel. JUÍZA FEDERAL ADVERCI RATES MENDES DE ABREU, 3ª TURMA SUPLEMENTAR, e-DJF1 p.1228 de 22/06/2012)</w:t>
      </w:r>
    </w:p>
    <w:p w:rsidR="00E91818" w:rsidRDefault="00E91818" w:rsidP="006E0DC8">
      <w:pPr>
        <w:pStyle w:val="Transcrio"/>
        <w:rPr>
          <w:rFonts w:eastAsia="MS Mincho"/>
        </w:rPr>
      </w:pPr>
      <w:r>
        <w:rPr>
          <w:rFonts w:eastAsia="MS Mincho"/>
        </w:rPr>
        <w:t xml:space="preserve">ADMINISTRATIVO. MILITAR. ANISTIA POLÍTICA. ANULAÇÃO. CABO DA AERONÁUTICA. INGRESSO NA FORÇA AERÉA BRASILEIRA POSTERIOR À VIGÊNCIA DA PORTARIA 1.104/64. NÃO DEMONSTRAÇÃO MOTIVAÇÃO POLÍTICA. SENTENÇA MANTIDA.  1. O entendimento jurisprudencial está pacificado no sentido de que, apesar de ser considerado ato de exceção, a Portaria 1.104/64 só valerá para concessão de anistia àqueles que, ao tempo de sua edição, já eram praças da Força Aérea.  2. Não há provas nos presentes autos de terem os autores se envolvido em movimento de motivação exclusivamente política que pudesse motivar seu desligamento das carreiras militares, razão pela qual não se enquadra no artigo </w:t>
      </w:r>
      <w:proofErr w:type="gramStart"/>
      <w:r>
        <w:rPr>
          <w:rFonts w:eastAsia="MS Mincho"/>
        </w:rPr>
        <w:t>8</w:t>
      </w:r>
      <w:proofErr w:type="gramEnd"/>
      <w:r>
        <w:rPr>
          <w:rFonts w:eastAsia="MS Mincho"/>
        </w:rPr>
        <w:t xml:space="preserve"> º do ADCT. </w:t>
      </w:r>
    </w:p>
    <w:p w:rsidR="00E91818" w:rsidRDefault="00E91818" w:rsidP="006E0DC8">
      <w:pPr>
        <w:pStyle w:val="Transcrio"/>
        <w:rPr>
          <w:rFonts w:eastAsia="MS Mincho"/>
        </w:rPr>
      </w:pPr>
      <w:r>
        <w:rPr>
          <w:rFonts w:eastAsia="MS Mincho"/>
        </w:rPr>
        <w:t xml:space="preserve">(AC 0000290-59.2005.4.01.3400/DF, Rel. JUÍZA Federal </w:t>
      </w:r>
      <w:proofErr w:type="spellStart"/>
      <w:r>
        <w:rPr>
          <w:rFonts w:eastAsia="MS Mincho"/>
        </w:rPr>
        <w:t>Rosimayre</w:t>
      </w:r>
      <w:proofErr w:type="spellEnd"/>
      <w:r>
        <w:rPr>
          <w:rFonts w:eastAsia="MS Mincho"/>
        </w:rPr>
        <w:t xml:space="preserve"> Gonçalves de Carvalho, 2ª Turma Suplementar, e-DJF1 p.497 de 01/06/2012)</w:t>
      </w:r>
    </w:p>
    <w:p w:rsidR="00E91818" w:rsidRDefault="00E91818" w:rsidP="006E0DC8">
      <w:pPr>
        <w:pStyle w:val="Pargrafo"/>
        <w:rPr>
          <w:rFonts w:eastAsia="MS Mincho"/>
        </w:rPr>
      </w:pPr>
    </w:p>
    <w:p w:rsidR="00E91818" w:rsidRDefault="00E91818" w:rsidP="006E0DC8">
      <w:pPr>
        <w:pStyle w:val="Pargrafo"/>
        <w:rPr>
          <w:rFonts w:eastAsia="MS Mincho"/>
        </w:rPr>
      </w:pPr>
      <w:r>
        <w:rPr>
          <w:rFonts w:eastAsia="MS Mincho"/>
        </w:rPr>
        <w:t xml:space="preserve">O STJ tem jurisprudência firmada no sentido de que, para o reconhecimento da condição de anistiado, deve o cabo incluído no serviço ativo da Força Aérea </w:t>
      </w:r>
      <w:r>
        <w:rPr>
          <w:rFonts w:eastAsia="MS Mincho"/>
          <w:b/>
          <w:bCs/>
        </w:rPr>
        <w:t>posteriormente à edição da Portaria n. 1.104-GM3/64</w:t>
      </w:r>
      <w:r>
        <w:rPr>
          <w:rFonts w:eastAsia="MS Mincho"/>
        </w:rPr>
        <w:t xml:space="preserve"> </w:t>
      </w:r>
      <w:proofErr w:type="gramStart"/>
      <w:r>
        <w:rPr>
          <w:rFonts w:eastAsia="MS Mincho"/>
        </w:rPr>
        <w:t>comprovar</w:t>
      </w:r>
      <w:proofErr w:type="gramEnd"/>
      <w:r>
        <w:rPr>
          <w:rFonts w:eastAsia="MS Mincho"/>
        </w:rPr>
        <w:t xml:space="preserve"> a configuração da perseguição política, não havendo como atribuir conteúdo político ao ato que determinou o licenciamento por conclusão do tempo de serviço, permitido na forma da legislação então vigente (</w:t>
      </w:r>
      <w:proofErr w:type="spellStart"/>
      <w:r>
        <w:rPr>
          <w:rFonts w:eastAsia="MS Mincho"/>
        </w:rPr>
        <w:t>AGREsp</w:t>
      </w:r>
      <w:proofErr w:type="spellEnd"/>
      <w:r>
        <w:rPr>
          <w:rFonts w:eastAsia="MS Mincho"/>
        </w:rPr>
        <w:t xml:space="preserve"> 201000886609, Rel. Ministro Hamilton </w:t>
      </w:r>
      <w:proofErr w:type="spellStart"/>
      <w:r>
        <w:rPr>
          <w:rFonts w:eastAsia="MS Mincho"/>
        </w:rPr>
        <w:t>Carvalhido</w:t>
      </w:r>
      <w:proofErr w:type="spellEnd"/>
      <w:r>
        <w:rPr>
          <w:rFonts w:eastAsia="MS Mincho"/>
        </w:rPr>
        <w:t>, Primeira Turma, DJ de 02/02/2011).</w:t>
      </w:r>
    </w:p>
    <w:p w:rsidR="00E91818" w:rsidRDefault="00E91818" w:rsidP="006E0DC8">
      <w:pPr>
        <w:pStyle w:val="Pargrafo"/>
        <w:rPr>
          <w:rFonts w:eastAsia="MS Mincho"/>
        </w:rPr>
      </w:pPr>
      <w:r>
        <w:rPr>
          <w:rFonts w:eastAsia="MS Mincho"/>
        </w:rPr>
        <w:t>Portanto, duas são as situações dos ex-cabos da Aeronáutica:</w:t>
      </w:r>
    </w:p>
    <w:p w:rsidR="00E91818" w:rsidRDefault="00E91818" w:rsidP="006E0DC8">
      <w:pPr>
        <w:pStyle w:val="Pargrafo"/>
        <w:rPr>
          <w:rFonts w:eastAsia="MS Mincho"/>
        </w:rPr>
      </w:pPr>
      <w:r>
        <w:rPr>
          <w:rFonts w:eastAsia="MS Mincho"/>
        </w:rPr>
        <w:t xml:space="preserve">a) aos que ingressaram na Força e já se encontravam na graduação de cabo antes da referida portaria, deve-se reconhecer o direito à anistia, porque </w:t>
      </w:r>
      <w:proofErr w:type="gramStart"/>
      <w:r>
        <w:rPr>
          <w:rFonts w:eastAsia="MS Mincho"/>
        </w:rPr>
        <w:t>presume-se</w:t>
      </w:r>
      <w:proofErr w:type="gramEnd"/>
      <w:r>
        <w:rPr>
          <w:rFonts w:eastAsia="MS Mincho"/>
        </w:rPr>
        <w:t xml:space="preserve"> que o licenciamento, por força do referido ato, teve motivação política;</w:t>
      </w:r>
    </w:p>
    <w:p w:rsidR="00E91818" w:rsidRDefault="00E91818" w:rsidP="006E0DC8">
      <w:pPr>
        <w:pStyle w:val="Pargrafo"/>
        <w:rPr>
          <w:rFonts w:eastAsia="MS Mincho"/>
        </w:rPr>
      </w:pPr>
      <w:r>
        <w:rPr>
          <w:rFonts w:eastAsia="MS Mincho"/>
        </w:rPr>
        <w:t>b) aos que ingressaram na FAB depois da referida portaria, não há falar em direito à anistia, porque o licenciamento, em princípio, não teve motivação política, o que deve ser demonstrado em cada caso.</w:t>
      </w:r>
    </w:p>
    <w:p w:rsidR="00E91818" w:rsidRDefault="00E91818" w:rsidP="006E0DC8">
      <w:pPr>
        <w:pStyle w:val="Pargrafo"/>
        <w:rPr>
          <w:rFonts w:eastAsia="MS Mincho"/>
        </w:rPr>
      </w:pPr>
      <w:r>
        <w:rPr>
          <w:rFonts w:eastAsia="MS Mincho"/>
        </w:rPr>
        <w:t xml:space="preserve">Na hipótese dos autos, o autor ingressou na FAB após a edição da Portaria n. 1.104-GM3, por isso que </w:t>
      </w:r>
      <w:r w:rsidRPr="009F339E">
        <w:rPr>
          <w:rFonts w:eastAsia="MS Mincho"/>
          <w:u w:val="single"/>
        </w:rPr>
        <w:t>não tem direito à anistia</w:t>
      </w:r>
      <w:r>
        <w:rPr>
          <w:rFonts w:eastAsia="MS Mincho"/>
        </w:rPr>
        <w:t>, tendo sido, na verdade, licenciado por conclusão de tempo de serviço, e não por motivação política.</w:t>
      </w:r>
    </w:p>
    <w:p w:rsidR="00E91818" w:rsidRDefault="00E91818" w:rsidP="001C57AD">
      <w:pPr>
        <w:pStyle w:val="Pargrafo"/>
      </w:pPr>
      <w:r>
        <w:t>Com relação aos honorários fixados na sentença, e contra os quais se insurge a ré, não há qualquer retificação a ser feita, eis que estabelecidos os honorários advocatícios, em face da parte que se encontra sob o pálio da justiça gratuita, em consonância com o art. 20, §§ 3º e 4º, do CPC.</w:t>
      </w:r>
    </w:p>
    <w:p w:rsidR="00E91818" w:rsidRPr="006243B2" w:rsidRDefault="00E91818" w:rsidP="001C57AD">
      <w:pPr>
        <w:pStyle w:val="Pargrafo"/>
      </w:pPr>
      <w:r>
        <w:t xml:space="preserve">Em face do exposto, </w:t>
      </w:r>
      <w:r w:rsidRPr="006243B2">
        <w:rPr>
          <w:b/>
          <w:bCs/>
        </w:rPr>
        <w:t>nego provimento</w:t>
      </w:r>
      <w:r>
        <w:t xml:space="preserve"> às apelações.</w:t>
      </w:r>
    </w:p>
    <w:p w:rsidR="00E91818" w:rsidRPr="00E37B67" w:rsidRDefault="00E91818" w:rsidP="007027C0">
      <w:pPr>
        <w:pStyle w:val="Pargrafo"/>
        <w:rPr>
          <w:b/>
          <w:bCs/>
        </w:rPr>
      </w:pPr>
      <w:r w:rsidRPr="00E37B67">
        <w:rPr>
          <w:b/>
          <w:bCs/>
        </w:rPr>
        <w:t>É como voto.</w:t>
      </w:r>
    </w:p>
    <w:sectPr w:rsidR="00E91818" w:rsidRPr="00E37B67"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1818" w:rsidRDefault="00E91818">
      <w:r>
        <w:separator/>
      </w:r>
    </w:p>
  </w:endnote>
  <w:endnote w:type="continuationSeparator" w:id="1">
    <w:p w:rsidR="00E91818" w:rsidRDefault="00E918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818" w:rsidRDefault="00E91818">
    <w:pPr>
      <w:tabs>
        <w:tab w:val="right" w:pos="9360"/>
      </w:tabs>
    </w:pPr>
    <w:r w:rsidRPr="00BD25F1">
      <w:rPr>
        <w:rFonts w:ascii="Arial" w:hAnsi="Arial" w:cs="Arial"/>
        <w:sz w:val="10"/>
        <w:szCs w:val="10"/>
        <w:lang w:val="en-US"/>
      </w:rPr>
      <w:t>TRF 1ª REGIÃO/IMP.15-02-05</w:t>
    </w:r>
    <w:r w:rsidRPr="00BD25F1">
      <w:rPr>
        <w:rFonts w:ascii="Arial" w:hAnsi="Arial" w:cs="Arial"/>
        <w:sz w:val="10"/>
        <w:szCs w:val="10"/>
        <w:lang w:val="en-US"/>
      </w:rPr>
      <w:tab/>
    </w:r>
    <w:r w:rsidR="005D412E" w:rsidRPr="00BD25F1">
      <w:rPr>
        <w:rFonts w:ascii="Arial" w:hAnsi="Arial" w:cs="Arial"/>
        <w:sz w:val="10"/>
        <w:szCs w:val="10"/>
        <w:lang w:val="en-US"/>
      </w:rPr>
      <w:fldChar w:fldCharType="begin"/>
    </w:r>
    <w:r w:rsidRPr="00BD25F1">
      <w:rPr>
        <w:rFonts w:ascii="Arial" w:hAnsi="Arial" w:cs="Arial"/>
        <w:sz w:val="10"/>
        <w:szCs w:val="10"/>
        <w:lang w:val="en-US"/>
      </w:rPr>
      <w:instrText xml:space="preserve"> FILENAME \p </w:instrText>
    </w:r>
    <w:r w:rsidR="005D412E" w:rsidRPr="00BD25F1">
      <w:rPr>
        <w:rFonts w:ascii="Arial" w:hAnsi="Arial" w:cs="Arial"/>
        <w:sz w:val="10"/>
        <w:szCs w:val="10"/>
        <w:lang w:val="en-US"/>
      </w:rPr>
      <w:fldChar w:fldCharType="separate"/>
    </w:r>
    <w:r>
      <w:rPr>
        <w:rFonts w:ascii="Arial" w:hAnsi="Arial" w:cs="Arial"/>
        <w:noProof/>
        <w:sz w:val="10"/>
        <w:szCs w:val="10"/>
        <w:lang w:val="en-US"/>
      </w:rPr>
      <w:t xml:space="preserve">W:\@GAB. </w:t>
    </w:r>
    <w:r w:rsidRPr="001C57AD">
      <w:rPr>
        <w:rFonts w:ascii="Arial" w:hAnsi="Arial" w:cs="Arial"/>
        <w:noProof/>
        <w:sz w:val="10"/>
        <w:szCs w:val="10"/>
      </w:rPr>
      <w:t>PREVIDENCIÁRIO\1ª TURMA\AC\MILITAR\ANISTIA\Aeronáutica - Portaria 1.104-64\RV26176920084013400 - HLA.modelo misto - DECADÊNCIA + PORTARIA 1104.indeferido.docx</w:t>
    </w:r>
    <w:r w:rsidR="005D412E" w:rsidRPr="00BD25F1">
      <w:rPr>
        <w:rFonts w:ascii="Arial" w:hAnsi="Arial" w:cs="Arial"/>
        <w:sz w:val="10"/>
        <w:szCs w:val="10"/>
        <w:lang w:val="en-US"/>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818" w:rsidRDefault="00E91818">
    <w:pPr>
      <w:tabs>
        <w:tab w:val="right" w:pos="9360"/>
      </w:tabs>
      <w:rPr>
        <w:rFonts w:ascii="Arial" w:hAnsi="Arial" w:cs="Arial"/>
        <w:sz w:val="13"/>
        <w:szCs w:val="13"/>
      </w:rPr>
    </w:pPr>
    <w:r w:rsidRPr="00BD25F1">
      <w:rPr>
        <w:rFonts w:ascii="Arial" w:hAnsi="Arial" w:cs="Arial"/>
        <w:sz w:val="10"/>
        <w:szCs w:val="10"/>
        <w:lang w:val="en-US"/>
      </w:rPr>
      <w:t>TRF 1ª REGIÃO/IMP.15-02-05</w:t>
    </w:r>
    <w:r w:rsidRPr="00BD25F1">
      <w:rPr>
        <w:rFonts w:ascii="Arial" w:hAnsi="Arial" w:cs="Arial"/>
        <w:sz w:val="10"/>
        <w:szCs w:val="10"/>
        <w:lang w:val="en-US"/>
      </w:rPr>
      <w:tab/>
    </w:r>
    <w:r w:rsidR="005D412E" w:rsidRPr="00BD25F1">
      <w:rPr>
        <w:rFonts w:ascii="Arial" w:hAnsi="Arial" w:cs="Arial"/>
        <w:sz w:val="13"/>
        <w:szCs w:val="13"/>
        <w:lang w:val="en-US"/>
      </w:rPr>
      <w:fldChar w:fldCharType="begin"/>
    </w:r>
    <w:r w:rsidRPr="00BD25F1">
      <w:rPr>
        <w:rFonts w:ascii="Arial" w:hAnsi="Arial" w:cs="Arial"/>
        <w:sz w:val="13"/>
        <w:szCs w:val="13"/>
        <w:lang w:val="en-US"/>
      </w:rPr>
      <w:instrText xml:space="preserve"> FILENAME \p </w:instrText>
    </w:r>
    <w:r w:rsidR="005D412E" w:rsidRPr="00BD25F1">
      <w:rPr>
        <w:rFonts w:ascii="Arial" w:hAnsi="Arial" w:cs="Arial"/>
        <w:sz w:val="13"/>
        <w:szCs w:val="13"/>
        <w:lang w:val="en-US"/>
      </w:rPr>
      <w:fldChar w:fldCharType="separate"/>
    </w:r>
    <w:r>
      <w:rPr>
        <w:rFonts w:ascii="Arial" w:hAnsi="Arial" w:cs="Arial"/>
        <w:noProof/>
        <w:sz w:val="13"/>
        <w:szCs w:val="13"/>
        <w:lang w:val="en-US"/>
      </w:rPr>
      <w:t>W:\@GAB. PREVIDENCIÁRIO\1ª TURMA\AC\MILITAR\ANISTIA\Aeronáutica - Portaria 1.104-64\RV26176920084013400 - HLA.modelo misto - DECADÊNCIA + PORTARIA 1104.indeferido.docx</w:t>
    </w:r>
    <w:r w:rsidR="005D412E" w:rsidRPr="00BD25F1">
      <w:rPr>
        <w:rFonts w:ascii="Arial" w:hAnsi="Arial" w:cs="Arial"/>
        <w:sz w:val="13"/>
        <w:szCs w:val="13"/>
        <w:lang w:val="en-US"/>
      </w:rPr>
      <w:fldChar w:fldCharType="end"/>
    </w:r>
  </w:p>
  <w:p w:rsidR="00E91818" w:rsidRDefault="00E91818">
    <w:pPr>
      <w:tabs>
        <w:tab w:val="right" w:pos="9360"/>
      </w:tabs>
      <w:rPr>
        <w:sz w:val="13"/>
        <w:szCs w:val="13"/>
      </w:rPr>
    </w:pPr>
    <w:r>
      <w:rPr>
        <w:rFonts w:ascii="Arial" w:hAnsi="Arial" w:cs="Arial"/>
        <w:sz w:val="13"/>
        <w:szCs w:val="13"/>
      </w:rPr>
      <w:t xml:space="preserve">Criado por </w:t>
    </w:r>
    <w:r w:rsidR="005D412E">
      <w:rPr>
        <w:rFonts w:ascii="Arial" w:hAnsi="Arial" w:cs="Arial"/>
        <w:sz w:val="13"/>
        <w:szCs w:val="13"/>
      </w:rPr>
      <w:fldChar w:fldCharType="begin"/>
    </w:r>
    <w:r>
      <w:rPr>
        <w:rFonts w:ascii="Arial" w:hAnsi="Arial" w:cs="Arial"/>
        <w:sz w:val="13"/>
        <w:szCs w:val="13"/>
      </w:rPr>
      <w:instrText xml:space="preserve"> AUTHOR </w:instrText>
    </w:r>
    <w:r w:rsidR="005D412E">
      <w:rPr>
        <w:rFonts w:ascii="Arial" w:hAnsi="Arial" w:cs="Arial"/>
        <w:sz w:val="13"/>
        <w:szCs w:val="13"/>
      </w:rPr>
      <w:fldChar w:fldCharType="separate"/>
    </w:r>
    <w:r>
      <w:rPr>
        <w:rFonts w:ascii="Arial" w:hAnsi="Arial" w:cs="Arial"/>
        <w:noProof/>
        <w:sz w:val="13"/>
        <w:szCs w:val="13"/>
      </w:rPr>
      <w:t>tr3503</w:t>
    </w:r>
    <w:r w:rsidR="005D412E">
      <w:rPr>
        <w:rFonts w:ascii="Arial" w:hAnsi="Arial" w:cs="Arial"/>
        <w:sz w:val="13"/>
        <w:szCs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1818" w:rsidRDefault="00E91818">
      <w:r>
        <w:separator/>
      </w:r>
    </w:p>
  </w:footnote>
  <w:footnote w:type="continuationSeparator" w:id="1">
    <w:p w:rsidR="00E91818" w:rsidRDefault="00E918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818" w:rsidRDefault="00E91818">
    <w:pPr>
      <w:spacing w:before="120"/>
      <w:rPr>
        <w:rFonts w:ascii="Arial" w:hAnsi="Arial" w:cs="Arial"/>
        <w:sz w:val="16"/>
        <w:szCs w:val="16"/>
      </w:rPr>
    </w:pPr>
    <w:r>
      <w:rPr>
        <w:rFonts w:ascii="Arial" w:hAnsi="Arial" w:cs="Arial"/>
        <w:sz w:val="16"/>
        <w:szCs w:val="16"/>
      </w:rPr>
      <w:t>PODER JUDICIÁRIO</w:t>
    </w:r>
  </w:p>
  <w:p w:rsidR="00E91818" w:rsidRDefault="00E91818">
    <w:pPr>
      <w:tabs>
        <w:tab w:val="right" w:pos="9540"/>
      </w:tabs>
      <w:spacing w:after="120"/>
      <w:rPr>
        <w:rFonts w:ascii="Arial" w:hAnsi="Arial" w:cs="Arial"/>
        <w:sz w:val="16"/>
        <w:szCs w:val="16"/>
      </w:rPr>
    </w:pPr>
    <w:r>
      <w:rPr>
        <w:rFonts w:ascii="Arial" w:hAnsi="Arial" w:cs="Arial"/>
        <w:b/>
        <w:bCs/>
        <w:sz w:val="20"/>
        <w:szCs w:val="20"/>
      </w:rPr>
      <w:t>TRIBUNAL REGIONAL FEDERAL DA PRIMEIRA REGIÃO</w:t>
    </w:r>
    <w:r>
      <w:rPr>
        <w:rFonts w:ascii="Arial" w:hAnsi="Arial" w:cs="Arial"/>
        <w:b/>
        <w:bCs/>
        <w:sz w:val="20"/>
        <w:szCs w:val="20"/>
      </w:rPr>
      <w:tab/>
    </w:r>
    <w:r>
      <w:rPr>
        <w:rFonts w:ascii="Arial" w:hAnsi="Arial" w:cs="Arial"/>
        <w:sz w:val="16"/>
        <w:szCs w:val="16"/>
      </w:rPr>
      <w:t>fls.</w:t>
    </w:r>
    <w:r w:rsidR="005D412E">
      <w:rPr>
        <w:rFonts w:ascii="Arial" w:hAnsi="Arial" w:cs="Arial"/>
        <w:sz w:val="16"/>
        <w:szCs w:val="16"/>
      </w:rPr>
      <w:fldChar w:fldCharType="begin"/>
    </w:r>
    <w:r>
      <w:rPr>
        <w:rFonts w:ascii="Arial" w:hAnsi="Arial" w:cs="Arial"/>
        <w:sz w:val="16"/>
        <w:szCs w:val="16"/>
      </w:rPr>
      <w:instrText xml:space="preserve"> PAGE </w:instrText>
    </w:r>
    <w:r w:rsidR="005D412E">
      <w:rPr>
        <w:rFonts w:ascii="Arial" w:hAnsi="Arial" w:cs="Arial"/>
        <w:sz w:val="16"/>
        <w:szCs w:val="16"/>
      </w:rPr>
      <w:fldChar w:fldCharType="separate"/>
    </w:r>
    <w:r w:rsidR="001B1538">
      <w:rPr>
        <w:rFonts w:ascii="Arial" w:hAnsi="Arial" w:cs="Arial"/>
        <w:noProof/>
        <w:sz w:val="16"/>
        <w:szCs w:val="16"/>
      </w:rPr>
      <w:t>6</w:t>
    </w:r>
    <w:r w:rsidR="005D412E">
      <w:rPr>
        <w:rFonts w:ascii="Arial" w:hAnsi="Arial" w:cs="Arial"/>
        <w:sz w:val="16"/>
        <w:szCs w:val="16"/>
      </w:rPr>
      <w:fldChar w:fldCharType="end"/>
    </w:r>
    <w:r>
      <w:rPr>
        <w:rFonts w:ascii="Arial" w:hAnsi="Arial" w:cs="Arial"/>
        <w:sz w:val="16"/>
        <w:szCs w:val="16"/>
      </w:rPr>
      <w:t>/</w:t>
    </w:r>
    <w:r w:rsidR="005D412E">
      <w:rPr>
        <w:rFonts w:ascii="Arial" w:hAnsi="Arial" w:cs="Arial"/>
        <w:sz w:val="16"/>
        <w:szCs w:val="16"/>
      </w:rPr>
      <w:fldChar w:fldCharType="begin"/>
    </w:r>
    <w:r>
      <w:rPr>
        <w:rFonts w:ascii="Arial" w:hAnsi="Arial" w:cs="Arial"/>
        <w:sz w:val="16"/>
        <w:szCs w:val="16"/>
      </w:rPr>
      <w:instrText xml:space="preserve"> NUMPAGES </w:instrText>
    </w:r>
    <w:r w:rsidR="005D412E">
      <w:rPr>
        <w:rFonts w:ascii="Arial" w:hAnsi="Arial" w:cs="Arial"/>
        <w:sz w:val="16"/>
        <w:szCs w:val="16"/>
      </w:rPr>
      <w:fldChar w:fldCharType="separate"/>
    </w:r>
    <w:r w:rsidR="001B1538">
      <w:rPr>
        <w:rFonts w:ascii="Arial" w:hAnsi="Arial" w:cs="Arial"/>
        <w:noProof/>
        <w:sz w:val="16"/>
        <w:szCs w:val="16"/>
      </w:rPr>
      <w:t>6</w:t>
    </w:r>
    <w:r w:rsidR="005D412E">
      <w:rPr>
        <w:rFonts w:ascii="Arial" w:hAnsi="Arial" w:cs="Arial"/>
        <w:sz w:val="16"/>
        <w:szCs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818" w:rsidRDefault="005D412E" w:rsidP="004554A7">
    <w:pPr>
      <w:spacing w:before="120"/>
      <w:jc w:val="center"/>
      <w:rPr>
        <w:rFonts w:ascii="Arial" w:hAnsi="Arial" w:cs="Arial"/>
        <w:sz w:val="16"/>
        <w:szCs w:val="16"/>
      </w:rPr>
    </w:pPr>
    <w:r w:rsidRPr="005D412E">
      <w:rPr>
        <w:rFonts w:ascii="Arial" w:hAnsi="Arial" w:cs="Arial"/>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60pt;height:62.25pt;visibility:visible">
          <v:imagedata r:id="rId1" o:title=""/>
        </v:shape>
      </w:pict>
    </w:r>
  </w:p>
  <w:p w:rsidR="00E91818" w:rsidRDefault="00E91818" w:rsidP="004554A7">
    <w:pPr>
      <w:spacing w:before="120"/>
      <w:jc w:val="center"/>
      <w:rPr>
        <w:rFonts w:ascii="Arial" w:hAnsi="Arial" w:cs="Arial"/>
        <w:sz w:val="16"/>
        <w:szCs w:val="16"/>
      </w:rPr>
    </w:pPr>
    <w:r>
      <w:rPr>
        <w:rFonts w:ascii="Arial" w:hAnsi="Arial" w:cs="Arial"/>
        <w:sz w:val="16"/>
        <w:szCs w:val="16"/>
      </w:rPr>
      <w:t>PODER JUDICIÁRIO</w:t>
    </w:r>
  </w:p>
  <w:p w:rsidR="00E91818" w:rsidRDefault="00E91818" w:rsidP="004554A7">
    <w:pPr>
      <w:jc w:val="center"/>
    </w:pPr>
    <w:r>
      <w:rPr>
        <w:rFonts w:ascii="Arial" w:hAnsi="Arial" w:cs="Arial"/>
        <w:b/>
        <w:bCs/>
        <w:sz w:val="20"/>
        <w:szCs w:val="20"/>
      </w:rPr>
      <w:t>TRIBUNAL REGIONAL FEDERAL DA PRIMEIRA REGIÃO</w:t>
    </w:r>
    <w:r>
      <w:rPr>
        <w:rFonts w:ascii="Arial" w:hAnsi="Arial" w:cs="Arial"/>
        <w:b/>
        <w:bCs/>
        <w:sz w:val="20"/>
        <w:szCs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cs="Symbol" w:hint="default"/>
        <w:color w:val="auto"/>
      </w:rPr>
    </w:lvl>
    <w:lvl w:ilvl="1" w:tplc="04160003">
      <w:start w:val="1"/>
      <w:numFmt w:val="bullet"/>
      <w:lvlText w:val="o"/>
      <w:lvlJc w:val="left"/>
      <w:pPr>
        <w:tabs>
          <w:tab w:val="num" w:pos="1440"/>
        </w:tabs>
        <w:ind w:left="1440" w:hanging="360"/>
      </w:pPr>
      <w:rPr>
        <w:rFonts w:ascii="Courier New" w:hAnsi="Courier New" w:cs="Courier New" w:hint="default"/>
      </w:rPr>
    </w:lvl>
    <w:lvl w:ilvl="2" w:tplc="024A3448">
      <w:start w:val="1"/>
      <w:numFmt w:val="bullet"/>
      <w:lvlText w:val=""/>
      <w:lvlJc w:val="left"/>
      <w:pPr>
        <w:tabs>
          <w:tab w:val="num" w:pos="2160"/>
        </w:tabs>
        <w:ind w:left="2160" w:hanging="360"/>
      </w:pPr>
      <w:rPr>
        <w:rFonts w:ascii="Wingdings" w:hAnsi="Wingdings" w:cs="Wingdings" w:hint="default"/>
      </w:rPr>
    </w:lvl>
    <w:lvl w:ilvl="3" w:tplc="04160001">
      <w:start w:val="1"/>
      <w:numFmt w:val="bullet"/>
      <w:lvlText w:val=""/>
      <w:lvlJc w:val="left"/>
      <w:pPr>
        <w:tabs>
          <w:tab w:val="num" w:pos="2880"/>
        </w:tabs>
        <w:ind w:left="2880" w:hanging="360"/>
      </w:pPr>
      <w:rPr>
        <w:rFonts w:ascii="Symbol" w:hAnsi="Symbol" w:cs="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cs="Wingdings" w:hint="default"/>
      </w:rPr>
    </w:lvl>
    <w:lvl w:ilvl="6" w:tplc="04160001">
      <w:start w:val="1"/>
      <w:numFmt w:val="bullet"/>
      <w:lvlText w:val=""/>
      <w:lvlJc w:val="left"/>
      <w:pPr>
        <w:tabs>
          <w:tab w:val="num" w:pos="5040"/>
        </w:tabs>
        <w:ind w:left="5040" w:hanging="360"/>
      </w:pPr>
      <w:rPr>
        <w:rFonts w:ascii="Symbol" w:hAnsi="Symbol" w:cs="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cs="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start w:val="1"/>
      <w:numFmt w:val="lowerLetter"/>
      <w:lvlText w:val="%2."/>
      <w:lvlJc w:val="left"/>
      <w:pPr>
        <w:tabs>
          <w:tab w:val="num" w:pos="2220"/>
        </w:tabs>
        <w:ind w:left="2220" w:hanging="360"/>
      </w:pPr>
    </w:lvl>
    <w:lvl w:ilvl="2" w:tplc="0416001B">
      <w:start w:val="1"/>
      <w:numFmt w:val="lowerRoman"/>
      <w:lvlText w:val="%3."/>
      <w:lvlJc w:val="right"/>
      <w:pPr>
        <w:tabs>
          <w:tab w:val="num" w:pos="2940"/>
        </w:tabs>
        <w:ind w:left="2940" w:hanging="180"/>
      </w:pPr>
    </w:lvl>
    <w:lvl w:ilvl="3" w:tplc="0416000F">
      <w:start w:val="1"/>
      <w:numFmt w:val="decimal"/>
      <w:lvlText w:val="%4."/>
      <w:lvlJc w:val="left"/>
      <w:pPr>
        <w:tabs>
          <w:tab w:val="num" w:pos="3660"/>
        </w:tabs>
        <w:ind w:left="3660" w:hanging="360"/>
      </w:pPr>
    </w:lvl>
    <w:lvl w:ilvl="4" w:tplc="04160019">
      <w:start w:val="1"/>
      <w:numFmt w:val="lowerLetter"/>
      <w:lvlText w:val="%5."/>
      <w:lvlJc w:val="left"/>
      <w:pPr>
        <w:tabs>
          <w:tab w:val="num" w:pos="4380"/>
        </w:tabs>
        <w:ind w:left="4380" w:hanging="360"/>
      </w:pPr>
    </w:lvl>
    <w:lvl w:ilvl="5" w:tplc="0416001B">
      <w:start w:val="1"/>
      <w:numFmt w:val="lowerRoman"/>
      <w:lvlText w:val="%6."/>
      <w:lvlJc w:val="right"/>
      <w:pPr>
        <w:tabs>
          <w:tab w:val="num" w:pos="5100"/>
        </w:tabs>
        <w:ind w:left="5100" w:hanging="180"/>
      </w:pPr>
    </w:lvl>
    <w:lvl w:ilvl="6" w:tplc="0416000F">
      <w:start w:val="1"/>
      <w:numFmt w:val="decimal"/>
      <w:lvlText w:val="%7."/>
      <w:lvlJc w:val="left"/>
      <w:pPr>
        <w:tabs>
          <w:tab w:val="num" w:pos="5820"/>
        </w:tabs>
        <w:ind w:left="5820" w:hanging="360"/>
      </w:pPr>
    </w:lvl>
    <w:lvl w:ilvl="7" w:tplc="04160019">
      <w:start w:val="1"/>
      <w:numFmt w:val="lowerLetter"/>
      <w:lvlText w:val="%8."/>
      <w:lvlJc w:val="left"/>
      <w:pPr>
        <w:tabs>
          <w:tab w:val="num" w:pos="6540"/>
        </w:tabs>
        <w:ind w:left="6540" w:hanging="360"/>
      </w:pPr>
    </w:lvl>
    <w:lvl w:ilvl="8" w:tplc="0416001B">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cs="Wingdings" w:hint="default"/>
      </w:rPr>
    </w:lvl>
    <w:lvl w:ilvl="1">
      <w:start w:val="1"/>
      <w:numFmt w:val="bullet"/>
      <w:lvlText w:val=""/>
      <w:lvlJc w:val="left"/>
      <w:pPr>
        <w:tabs>
          <w:tab w:val="num" w:pos="1211"/>
        </w:tabs>
        <w:ind w:left="1134" w:hanging="283"/>
      </w:pPr>
      <w:rPr>
        <w:rFonts w:ascii="Wingdings" w:hAnsi="Wingdings" w:cs="Wingdings" w:hint="default"/>
      </w:rPr>
    </w:lvl>
    <w:lvl w:ilvl="2">
      <w:start w:val="1"/>
      <w:numFmt w:val="bullet"/>
      <w:lvlText w:val=""/>
      <w:lvlJc w:val="left"/>
      <w:pPr>
        <w:tabs>
          <w:tab w:val="num" w:pos="2061"/>
        </w:tabs>
        <w:ind w:left="1928" w:hanging="227"/>
      </w:pPr>
      <w:rPr>
        <w:rFonts w:ascii="Wingdings" w:hAnsi="Wingdings" w:cs="Wingdings" w:hint="default"/>
      </w:rPr>
    </w:lvl>
    <w:lvl w:ilvl="3">
      <w:start w:val="1"/>
      <w:numFmt w:val="bullet"/>
      <w:lvlText w:val=""/>
      <w:lvlJc w:val="left"/>
      <w:pPr>
        <w:tabs>
          <w:tab w:val="num" w:pos="3195"/>
        </w:tabs>
        <w:ind w:left="3119" w:hanging="284"/>
      </w:pPr>
      <w:rPr>
        <w:rFonts w:ascii="Symbol" w:hAnsi="Symbol" w:cs="Symbol" w:hint="default"/>
      </w:rPr>
    </w:lvl>
    <w:lvl w:ilvl="4">
      <w:start w:val="1"/>
      <w:numFmt w:val="bullet"/>
      <w:lvlText w:val=""/>
      <w:lvlJc w:val="left"/>
      <w:pPr>
        <w:tabs>
          <w:tab w:val="num" w:pos="4139"/>
        </w:tabs>
        <w:ind w:left="4139" w:hanging="737"/>
      </w:pPr>
      <w:rPr>
        <w:rFonts w:ascii="Symbol" w:hAnsi="Symbol" w:cs="Symbol" w:hint="default"/>
        <w:sz w:val="14"/>
        <w:szCs w:val="14"/>
      </w:rPr>
    </w:lvl>
    <w:lvl w:ilvl="5">
      <w:start w:val="1"/>
      <w:numFmt w:val="bullet"/>
      <w:lvlText w:val=""/>
      <w:lvlJc w:val="left"/>
      <w:pPr>
        <w:tabs>
          <w:tab w:val="num" w:pos="2160"/>
        </w:tabs>
        <w:ind w:left="2160" w:hanging="360"/>
      </w:pPr>
      <w:rPr>
        <w:rFonts w:ascii="Wingdings" w:hAnsi="Wingdings" w:cs="Wingdings" w:hint="default"/>
      </w:rPr>
    </w:lvl>
    <w:lvl w:ilvl="6">
      <w:start w:val="1"/>
      <w:numFmt w:val="bullet"/>
      <w:lvlText w:val=""/>
      <w:lvlJc w:val="left"/>
      <w:pPr>
        <w:tabs>
          <w:tab w:val="num" w:pos="2520"/>
        </w:tabs>
        <w:ind w:left="2520" w:hanging="360"/>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defaultTabStop w:val="709"/>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2050"/>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3561"/>
    <w:rsid w:val="00013F0B"/>
    <w:rsid w:val="000D0652"/>
    <w:rsid w:val="0015179D"/>
    <w:rsid w:val="00191A8C"/>
    <w:rsid w:val="001A2450"/>
    <w:rsid w:val="001B1538"/>
    <w:rsid w:val="001C57AD"/>
    <w:rsid w:val="001C58E8"/>
    <w:rsid w:val="001C6A3A"/>
    <w:rsid w:val="001F6D6D"/>
    <w:rsid w:val="002331F7"/>
    <w:rsid w:val="00282023"/>
    <w:rsid w:val="00284CF4"/>
    <w:rsid w:val="00314E57"/>
    <w:rsid w:val="00363561"/>
    <w:rsid w:val="00377E10"/>
    <w:rsid w:val="00384D5C"/>
    <w:rsid w:val="00386FFD"/>
    <w:rsid w:val="003E0AAD"/>
    <w:rsid w:val="003F3EB7"/>
    <w:rsid w:val="00400960"/>
    <w:rsid w:val="00413610"/>
    <w:rsid w:val="004269A8"/>
    <w:rsid w:val="00432C6C"/>
    <w:rsid w:val="00443373"/>
    <w:rsid w:val="004554A7"/>
    <w:rsid w:val="00462716"/>
    <w:rsid w:val="004718B2"/>
    <w:rsid w:val="00471CDF"/>
    <w:rsid w:val="00497261"/>
    <w:rsid w:val="004C17AC"/>
    <w:rsid w:val="005125AA"/>
    <w:rsid w:val="00520508"/>
    <w:rsid w:val="005909ED"/>
    <w:rsid w:val="005A2CCD"/>
    <w:rsid w:val="005D412E"/>
    <w:rsid w:val="005E20DB"/>
    <w:rsid w:val="006243B2"/>
    <w:rsid w:val="006779DE"/>
    <w:rsid w:val="006861EE"/>
    <w:rsid w:val="006A4ECE"/>
    <w:rsid w:val="006E0DC8"/>
    <w:rsid w:val="007027C0"/>
    <w:rsid w:val="00714871"/>
    <w:rsid w:val="00764DAE"/>
    <w:rsid w:val="007A7066"/>
    <w:rsid w:val="007C3424"/>
    <w:rsid w:val="008713AE"/>
    <w:rsid w:val="00872397"/>
    <w:rsid w:val="008A3D69"/>
    <w:rsid w:val="008C3F69"/>
    <w:rsid w:val="008C4395"/>
    <w:rsid w:val="00936F47"/>
    <w:rsid w:val="009544CE"/>
    <w:rsid w:val="00963FA8"/>
    <w:rsid w:val="00986D17"/>
    <w:rsid w:val="0099169E"/>
    <w:rsid w:val="009D0665"/>
    <w:rsid w:val="009F339E"/>
    <w:rsid w:val="00A556CE"/>
    <w:rsid w:val="00AB79A2"/>
    <w:rsid w:val="00AD29DE"/>
    <w:rsid w:val="00B21A3A"/>
    <w:rsid w:val="00B8705F"/>
    <w:rsid w:val="00B876DB"/>
    <w:rsid w:val="00B967B5"/>
    <w:rsid w:val="00BA3F19"/>
    <w:rsid w:val="00BD25F1"/>
    <w:rsid w:val="00BE59BE"/>
    <w:rsid w:val="00C25116"/>
    <w:rsid w:val="00C51BAD"/>
    <w:rsid w:val="00C5492A"/>
    <w:rsid w:val="00CA68C6"/>
    <w:rsid w:val="00D221D6"/>
    <w:rsid w:val="00D63C88"/>
    <w:rsid w:val="00DA1369"/>
    <w:rsid w:val="00DC4B75"/>
    <w:rsid w:val="00DD0AC9"/>
    <w:rsid w:val="00E37B67"/>
    <w:rsid w:val="00E850E4"/>
    <w:rsid w:val="00E91818"/>
    <w:rsid w:val="00EC1CDC"/>
    <w:rsid w:val="00EE6447"/>
    <w:rsid w:val="00F50DB5"/>
    <w:rsid w:val="00F94EF6"/>
    <w:rsid w:val="00FF41C1"/>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7C0"/>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uiPriority w:val="99"/>
    <w:rsid w:val="00B8705F"/>
    <w:pPr>
      <w:spacing w:before="0" w:after="0"/>
    </w:pPr>
  </w:style>
  <w:style w:type="paragraph" w:customStyle="1" w:styleId="ementa">
    <w:name w:val="ementa"/>
    <w:basedOn w:val="Pargrafo"/>
    <w:uiPriority w:val="99"/>
    <w:rsid w:val="002331F7"/>
    <w:pPr>
      <w:ind w:firstLine="0"/>
    </w:pPr>
  </w:style>
  <w:style w:type="paragraph" w:customStyle="1" w:styleId="Pargrafo">
    <w:name w:val="Parágrafo"/>
    <w:basedOn w:val="Normal"/>
    <w:link w:val="PargrafoChar"/>
    <w:uiPriority w:val="99"/>
    <w:rsid w:val="00B8705F"/>
    <w:pPr>
      <w:spacing w:before="120" w:after="120"/>
      <w:ind w:firstLine="1418"/>
      <w:jc w:val="both"/>
    </w:pPr>
    <w:rPr>
      <w:rFonts w:ascii="Arial" w:hAnsi="Arial" w:cs="Arial"/>
      <w:sz w:val="22"/>
      <w:szCs w:val="22"/>
    </w:rPr>
  </w:style>
  <w:style w:type="paragraph" w:customStyle="1" w:styleId="centralizar">
    <w:name w:val="centralizar"/>
    <w:basedOn w:val="Pargrafo"/>
    <w:next w:val="Pargrafo"/>
    <w:uiPriority w:val="99"/>
    <w:rsid w:val="00B8705F"/>
    <w:pPr>
      <w:spacing w:before="360" w:after="360"/>
      <w:ind w:firstLine="0"/>
      <w:jc w:val="center"/>
    </w:pPr>
    <w:rPr>
      <w:b/>
      <w:bCs/>
    </w:rPr>
  </w:style>
  <w:style w:type="paragraph" w:customStyle="1" w:styleId="Transcrio">
    <w:name w:val="Transcrição"/>
    <w:basedOn w:val="Pargrafo"/>
    <w:uiPriority w:val="99"/>
    <w:rsid w:val="00B8705F"/>
    <w:pPr>
      <w:spacing w:before="60" w:after="60"/>
      <w:ind w:left="2268" w:firstLine="0"/>
    </w:pPr>
    <w:rPr>
      <w:i/>
      <w:iCs/>
    </w:rPr>
  </w:style>
  <w:style w:type="paragraph" w:styleId="Cabealho">
    <w:name w:val="header"/>
    <w:basedOn w:val="Normal"/>
    <w:link w:val="CabealhoChar"/>
    <w:uiPriority w:val="99"/>
    <w:rsid w:val="002331F7"/>
    <w:pPr>
      <w:tabs>
        <w:tab w:val="center" w:pos="4252"/>
        <w:tab w:val="right" w:pos="8504"/>
      </w:tabs>
    </w:pPr>
  </w:style>
  <w:style w:type="character" w:customStyle="1" w:styleId="CabealhoChar">
    <w:name w:val="Cabeçalho Char"/>
    <w:basedOn w:val="Fontepargpadro"/>
    <w:link w:val="Cabealho"/>
    <w:uiPriority w:val="99"/>
    <w:semiHidden/>
    <w:locked/>
    <w:rsid w:val="00314E57"/>
    <w:rPr>
      <w:sz w:val="24"/>
      <w:szCs w:val="24"/>
    </w:rPr>
  </w:style>
  <w:style w:type="paragraph" w:customStyle="1" w:styleId="transcrio2">
    <w:name w:val="transcrição 2"/>
    <w:basedOn w:val="Transcrio"/>
    <w:uiPriority w:val="99"/>
    <w:rsid w:val="00B8705F"/>
    <w:pPr>
      <w:ind w:left="2835"/>
    </w:pPr>
  </w:style>
  <w:style w:type="paragraph" w:customStyle="1" w:styleId="transcrio3">
    <w:name w:val="transcrição 3"/>
    <w:basedOn w:val="Identificao"/>
    <w:uiPriority w:val="99"/>
    <w:rsid w:val="00B8705F"/>
    <w:pPr>
      <w:ind w:left="3686"/>
    </w:pPr>
    <w:rPr>
      <w:i/>
      <w:iCs/>
    </w:rPr>
  </w:style>
  <w:style w:type="paragraph" w:customStyle="1" w:styleId="transcrio4">
    <w:name w:val="transcrição 4"/>
    <w:basedOn w:val="transcrio3"/>
    <w:uiPriority w:val="99"/>
    <w:rsid w:val="00B8705F"/>
    <w:pPr>
      <w:ind w:left="4536"/>
    </w:pPr>
  </w:style>
  <w:style w:type="paragraph" w:customStyle="1" w:styleId="assinatura">
    <w:name w:val="assinatura"/>
    <w:basedOn w:val="Pargrafo"/>
    <w:uiPriority w:val="99"/>
    <w:rsid w:val="00B8705F"/>
    <w:pPr>
      <w:spacing w:before="0" w:after="0"/>
      <w:ind w:firstLine="0"/>
      <w:jc w:val="center"/>
    </w:pPr>
  </w:style>
  <w:style w:type="paragraph" w:customStyle="1" w:styleId="Pargrafo2">
    <w:name w:val="Parágrafo 2"/>
    <w:basedOn w:val="Pargrafo"/>
    <w:uiPriority w:val="99"/>
    <w:rsid w:val="00B8705F"/>
    <w:pPr>
      <w:spacing w:line="480" w:lineRule="auto"/>
    </w:pPr>
  </w:style>
  <w:style w:type="paragraph" w:styleId="Rodap">
    <w:name w:val="footer"/>
    <w:basedOn w:val="Normal"/>
    <w:link w:val="RodapChar"/>
    <w:uiPriority w:val="99"/>
    <w:rsid w:val="002331F7"/>
    <w:pPr>
      <w:tabs>
        <w:tab w:val="center" w:pos="4252"/>
        <w:tab w:val="right" w:pos="8504"/>
      </w:tabs>
    </w:pPr>
  </w:style>
  <w:style w:type="character" w:customStyle="1" w:styleId="RodapChar">
    <w:name w:val="Rodapé Char"/>
    <w:basedOn w:val="Fontepargpadro"/>
    <w:link w:val="Rodap"/>
    <w:uiPriority w:val="99"/>
    <w:semiHidden/>
    <w:locked/>
    <w:rsid w:val="00314E57"/>
    <w:rPr>
      <w:sz w:val="24"/>
      <w:szCs w:val="24"/>
    </w:rPr>
  </w:style>
  <w:style w:type="paragraph" w:styleId="TextosemFormatao">
    <w:name w:val="Plain Text"/>
    <w:basedOn w:val="Normal"/>
    <w:link w:val="TextosemFormataoChar"/>
    <w:uiPriority w:val="99"/>
    <w:rsid w:val="007027C0"/>
    <w:rPr>
      <w:rFonts w:ascii="Consolas" w:hAnsi="Consolas" w:cs="Consolas"/>
      <w:sz w:val="21"/>
      <w:szCs w:val="21"/>
      <w:lang w:eastAsia="en-US"/>
    </w:rPr>
  </w:style>
  <w:style w:type="character" w:customStyle="1" w:styleId="TextosemFormataoChar">
    <w:name w:val="Texto sem Formatação Char"/>
    <w:basedOn w:val="Fontepargpadro"/>
    <w:link w:val="TextosemFormatao"/>
    <w:uiPriority w:val="99"/>
    <w:locked/>
    <w:rsid w:val="007027C0"/>
    <w:rPr>
      <w:rFonts w:ascii="Consolas" w:hAnsi="Consolas" w:cs="Consolas"/>
      <w:sz w:val="21"/>
      <w:szCs w:val="21"/>
      <w:lang w:eastAsia="en-US"/>
    </w:rPr>
  </w:style>
  <w:style w:type="character" w:customStyle="1" w:styleId="PargrafoChar">
    <w:name w:val="Parágrafo Char"/>
    <w:basedOn w:val="Fontepargpadro"/>
    <w:link w:val="Pargrafo"/>
    <w:uiPriority w:val="99"/>
    <w:locked/>
    <w:rsid w:val="007027C0"/>
    <w:rPr>
      <w:rFonts w:ascii="Arial" w:hAnsi="Arial" w:cs="Arial"/>
      <w:sz w:val="24"/>
      <w:szCs w:val="24"/>
    </w:rPr>
  </w:style>
  <w:style w:type="paragraph" w:customStyle="1" w:styleId="a1">
    <w:name w:val="a1"/>
    <w:basedOn w:val="Normal"/>
    <w:uiPriority w:val="99"/>
    <w:rsid w:val="007027C0"/>
    <w:pPr>
      <w:spacing w:before="100" w:beforeAutospacing="1" w:after="100" w:afterAutospacing="1"/>
      <w:jc w:val="center"/>
    </w:pPr>
  </w:style>
  <w:style w:type="paragraph" w:customStyle="1" w:styleId="a0">
    <w:name w:val="a0"/>
    <w:basedOn w:val="Normal"/>
    <w:uiPriority w:val="99"/>
    <w:rsid w:val="007027C0"/>
    <w:pPr>
      <w:spacing w:before="100" w:beforeAutospacing="1" w:after="100" w:afterAutospacing="1"/>
      <w:jc w:val="both"/>
    </w:pPr>
  </w:style>
  <w:style w:type="character" w:customStyle="1" w:styleId="f01">
    <w:name w:val="f01"/>
    <w:basedOn w:val="Fontepargpadro"/>
    <w:uiPriority w:val="99"/>
    <w:rsid w:val="007027C0"/>
    <w:rPr>
      <w:rFonts w:ascii="Times New Roman" w:hAnsi="Times New Roman" w:cs="Times New Roman"/>
      <w:color w:val="000000"/>
      <w:sz w:val="20"/>
      <w:szCs w:val="20"/>
    </w:rPr>
  </w:style>
  <w:style w:type="character" w:customStyle="1" w:styleId="highlightbrs">
    <w:name w:val="highlightbrs"/>
    <w:basedOn w:val="Fontepargpadro"/>
    <w:uiPriority w:val="99"/>
    <w:rsid w:val="007027C0"/>
  </w:style>
  <w:style w:type="paragraph" w:styleId="PargrafodaLista">
    <w:name w:val="List Paragraph"/>
    <w:basedOn w:val="Normal"/>
    <w:uiPriority w:val="99"/>
    <w:qFormat/>
    <w:rsid w:val="007027C0"/>
    <w:pPr>
      <w:spacing w:after="200" w:line="276" w:lineRule="auto"/>
      <w:ind w:left="720"/>
    </w:pPr>
    <w:rPr>
      <w:rFonts w:ascii="Calibri" w:hAnsi="Calibri" w:cs="Calibri"/>
      <w:sz w:val="22"/>
      <w:szCs w:val="22"/>
      <w:lang w:eastAsia="en-US"/>
    </w:rPr>
  </w:style>
  <w:style w:type="paragraph" w:styleId="Textodebalo">
    <w:name w:val="Balloon Text"/>
    <w:basedOn w:val="Normal"/>
    <w:link w:val="TextodebaloChar"/>
    <w:uiPriority w:val="99"/>
    <w:semiHidden/>
    <w:rsid w:val="008C3F69"/>
    <w:rPr>
      <w:rFonts w:ascii="Tahoma" w:hAnsi="Tahoma" w:cs="Tahoma"/>
      <w:sz w:val="16"/>
      <w:szCs w:val="16"/>
    </w:rPr>
  </w:style>
  <w:style w:type="character" w:customStyle="1" w:styleId="TextodebaloChar">
    <w:name w:val="Texto de balão Char"/>
    <w:basedOn w:val="Fontepargpadro"/>
    <w:link w:val="Textodebalo"/>
    <w:uiPriority w:val="99"/>
    <w:semiHidden/>
    <w:locked/>
    <w:rsid w:val="008C3F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3032</Words>
  <Characters>16634</Characters>
  <Application>Microsoft Office Word</Application>
  <DocSecurity>0</DocSecurity>
  <Lines>138</Lines>
  <Paragraphs>39</Paragraphs>
  <ScaleCrop>false</ScaleCrop>
  <Company>trf1</Company>
  <LinksUpToDate>false</LinksUpToDate>
  <CharactersWithSpaces>19627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tr3503</dc:creator>
  <cp:keywords/>
  <dc:description/>
  <cp:lastModifiedBy>TR17499PS</cp:lastModifiedBy>
  <cp:revision>2</cp:revision>
  <cp:lastPrinted>2015-02-05T17:57:00Z</cp:lastPrinted>
  <dcterms:created xsi:type="dcterms:W3CDTF">2015-03-10T12:56:00Z</dcterms:created>
  <dcterms:modified xsi:type="dcterms:W3CDTF">2015-03-10T12:56:00Z</dcterms:modified>
</cp:coreProperties>
</file>