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6DE" w:rsidRDefault="00E616DE" w:rsidP="00C07853">
      <w:pPr>
        <w:pStyle w:val="Identificao"/>
        <w:rPr>
          <w:b/>
          <w:u w:val="single"/>
        </w:rPr>
      </w:pPr>
    </w:p>
    <w:p w:rsidR="00C07853" w:rsidRPr="00E616DE" w:rsidRDefault="00CD06CE" w:rsidP="00C07853">
      <w:pPr>
        <w:pStyle w:val="Identificao"/>
        <w:rPr>
          <w:b/>
          <w:u w:val="single"/>
        </w:rPr>
      </w:pPr>
      <w:r w:rsidRPr="00E616DE">
        <w:rPr>
          <w:b/>
          <w:u w:val="single"/>
        </w:rPr>
        <w:t>APELAÇÃO CÍVEL</w:t>
      </w:r>
      <w:r w:rsidR="00C07853" w:rsidRPr="00E616DE">
        <w:rPr>
          <w:b/>
          <w:u w:val="single"/>
        </w:rPr>
        <w:t xml:space="preserve"> 2007.43.00.005330-0/TO</w:t>
      </w:r>
    </w:p>
    <w:p w:rsidR="00C07853" w:rsidRPr="005C56E1" w:rsidRDefault="00C07853" w:rsidP="00C07853">
      <w:pPr>
        <w:pStyle w:val="Identificao"/>
      </w:pPr>
      <w:r w:rsidRPr="005C56E1">
        <w:t>Processo na Origem: 53306720074014300</w:t>
      </w:r>
    </w:p>
    <w:p w:rsidR="00C07853" w:rsidRDefault="00C07853" w:rsidP="00C07853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proofErr w:type="gramStart"/>
            <w:r w:rsidRPr="00C07853">
              <w:t>RELATOR(</w:t>
            </w:r>
            <w:proofErr w:type="gramEnd"/>
            <w:r w:rsidRPr="00C07853">
              <w:t>A)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DESEMBARGADOR FEDERAL NÉVITON GUEDES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APELANTE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FENELON BARBOSA SALES 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ADVOGADO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TO00004362 - DENYSE DA CRUZ COSTA ALENCAR E </w:t>
            </w:r>
            <w:proofErr w:type="gramStart"/>
            <w:r w:rsidRPr="00C07853">
              <w:t>OUTROS(</w:t>
            </w:r>
            <w:proofErr w:type="gramEnd"/>
            <w:r w:rsidRPr="00C07853">
              <w:t>AS)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APELANTE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INSTITUTO NACIONAL DE COLONIZACAO E REFORMA AGRARIA - INCRA 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PROCURADOR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ADRIANA MAIA VENTURINI 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APELADO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OS MESMOS 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APELADO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ROBERTA ALVES DE CASTRO 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ADVOGADO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TO00000706 - JUVANDI SOBRAL RIBEIRO E </w:t>
            </w:r>
            <w:proofErr w:type="gramStart"/>
            <w:r w:rsidRPr="00C07853">
              <w:t>OUTROS(</w:t>
            </w:r>
            <w:proofErr w:type="gramEnd"/>
            <w:r w:rsidRPr="00C07853">
              <w:t>AS)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APELADO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DANIEL ROCHA CASTRO E </w:t>
            </w:r>
            <w:proofErr w:type="gramStart"/>
            <w:r w:rsidRPr="00C07853">
              <w:t>OUTROS(</w:t>
            </w:r>
            <w:proofErr w:type="gramEnd"/>
            <w:r w:rsidRPr="00C07853">
              <w:t>AS)</w:t>
            </w:r>
          </w:p>
        </w:tc>
      </w:tr>
      <w:tr w:rsidR="00C07853" w:rsidRPr="00C07853" w:rsidTr="00C07853">
        <w:tc>
          <w:tcPr>
            <w:tcW w:w="20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ADVOGADO</w:t>
            </w:r>
          </w:p>
        </w:tc>
        <w:tc>
          <w:tcPr>
            <w:tcW w:w="3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>:</w:t>
            </w:r>
          </w:p>
        </w:tc>
        <w:tc>
          <w:tcPr>
            <w:tcW w:w="7600" w:type="dxa"/>
            <w:shd w:val="clear" w:color="auto" w:fill="auto"/>
          </w:tcPr>
          <w:p w:rsidR="00C07853" w:rsidRPr="00C07853" w:rsidRDefault="00C07853" w:rsidP="00C07853">
            <w:pPr>
              <w:pStyle w:val="Identificao"/>
            </w:pPr>
            <w:r w:rsidRPr="00C07853">
              <w:t xml:space="preserve">TO00000010 - CORIOLANO SANTOS MARINHO E </w:t>
            </w:r>
            <w:proofErr w:type="gramStart"/>
            <w:r w:rsidRPr="00C07853">
              <w:t>OUTROS(</w:t>
            </w:r>
            <w:proofErr w:type="gramEnd"/>
            <w:r w:rsidRPr="00C07853">
              <w:t>AS)</w:t>
            </w:r>
          </w:p>
        </w:tc>
      </w:tr>
    </w:tbl>
    <w:p w:rsidR="0015179D" w:rsidRDefault="0015179D" w:rsidP="00C07853">
      <w:pPr>
        <w:pStyle w:val="Identificao"/>
      </w:pPr>
    </w:p>
    <w:p w:rsidR="00C07853" w:rsidRPr="00351235" w:rsidRDefault="00C07853" w:rsidP="00C07853">
      <w:pPr>
        <w:pStyle w:val="Identificao"/>
        <w:rPr>
          <w:b/>
        </w:rPr>
      </w:pPr>
      <w:r>
        <w:tab/>
      </w:r>
      <w:r>
        <w:tab/>
      </w:r>
      <w:r w:rsidR="00351235">
        <w:tab/>
      </w:r>
      <w:r w:rsidRPr="00351235">
        <w:rPr>
          <w:b/>
        </w:rPr>
        <w:tab/>
      </w:r>
      <w:r w:rsidRPr="00351235">
        <w:rPr>
          <w:b/>
        </w:rPr>
        <w:tab/>
      </w:r>
      <w:r w:rsidR="009C0052">
        <w:rPr>
          <w:b/>
        </w:rPr>
        <w:tab/>
      </w:r>
      <w:r w:rsidRPr="00351235">
        <w:rPr>
          <w:b/>
        </w:rPr>
        <w:t>DECISÃO</w:t>
      </w:r>
    </w:p>
    <w:p w:rsidR="00C07853" w:rsidRDefault="00C07853" w:rsidP="00C07853">
      <w:pPr>
        <w:pStyle w:val="Identificao"/>
      </w:pPr>
    </w:p>
    <w:p w:rsidR="00CD06CE" w:rsidRDefault="00CD06CE" w:rsidP="00CD06CE">
      <w:pPr>
        <w:pStyle w:val="Pargrafo"/>
      </w:pPr>
      <w:r>
        <w:t xml:space="preserve">Cuida-se de pedido do Espólio de João José de Castro para que seja ordenado à Caixa Econômica Federal colocar à disposição do Juízo da 1ª Vara de Família, Sucessões, Infância e Juventude de Porto Nacional/TO, as quantias arrecadadas com o resgate de </w:t>
      </w:r>
      <w:proofErr w:type="spellStart"/>
      <w:r>
        <w:t>TDA’s</w:t>
      </w:r>
      <w:proofErr w:type="spellEnd"/>
      <w:r>
        <w:t xml:space="preserve"> – </w:t>
      </w:r>
      <w:proofErr w:type="gramStart"/>
      <w:r>
        <w:t xml:space="preserve">correspondente </w:t>
      </w:r>
      <w:r w:rsidR="00E616DE">
        <w:t>a</w:t>
      </w:r>
      <w:r>
        <w:t xml:space="preserve"> 80% (oitenta por cento) do depósito inicial prévio realizado pelo INCRA –, relativas</w:t>
      </w:r>
      <w:proofErr w:type="gramEnd"/>
      <w:r>
        <w:t xml:space="preserve"> ao processo 2009.0008.8995-9, </w:t>
      </w:r>
      <w:r w:rsidR="00E616DE">
        <w:t xml:space="preserve">para posterior levantamento pelos legítimos herdeiros, </w:t>
      </w:r>
      <w:r>
        <w:t xml:space="preserve">conforme determinado no voto do relator (item 2, fls. 1.357-1.359). </w:t>
      </w:r>
    </w:p>
    <w:p w:rsidR="00CD06CE" w:rsidRDefault="00CD06CE" w:rsidP="00CD06CE">
      <w:pPr>
        <w:pStyle w:val="Pargrafo"/>
      </w:pPr>
      <w:r>
        <w:t>Decido.</w:t>
      </w:r>
    </w:p>
    <w:p w:rsidR="00C07853" w:rsidRDefault="00CD06CE" w:rsidP="00CD06CE">
      <w:pPr>
        <w:pStyle w:val="Pargrafo"/>
      </w:pPr>
      <w:r>
        <w:t xml:space="preserve">No </w:t>
      </w:r>
      <w:r w:rsidR="00C07853">
        <w:t xml:space="preserve">acórdão de fls. 1.352 e seguintes, </w:t>
      </w:r>
      <w:r>
        <w:t xml:space="preserve">assim decidiu o relator quanto ao pedido dos expropriados </w:t>
      </w:r>
      <w:r w:rsidR="00C07853">
        <w:t xml:space="preserve">ao levantamento de 80% (oitenta por cento) do depósito inicial prévio, </w:t>
      </w:r>
      <w:proofErr w:type="spellStart"/>
      <w:r w:rsidR="00C07853" w:rsidRPr="00C07853">
        <w:rPr>
          <w:i/>
        </w:rPr>
        <w:t>litteris</w:t>
      </w:r>
      <w:proofErr w:type="spellEnd"/>
      <w:r w:rsidR="00C07853">
        <w:t>:</w:t>
      </w:r>
    </w:p>
    <w:p w:rsidR="00E616DE" w:rsidRDefault="00E616DE" w:rsidP="00E616DE">
      <w:pPr>
        <w:pStyle w:val="Transcrio"/>
        <w:ind w:firstLine="568"/>
      </w:pPr>
      <w:r>
        <w:t>2. No que toca aos reiterados pedidos de levantamento do montante correspondente a 80% da indenização depositada pelo INCRA, estabelece o § 1º, art. 6º, da Lei Complementar 76/93 que:</w:t>
      </w:r>
    </w:p>
    <w:p w:rsidR="00E616DE" w:rsidRPr="00E616DE" w:rsidRDefault="00E616DE" w:rsidP="00E616DE">
      <w:pPr>
        <w:pStyle w:val="transcrio3"/>
      </w:pPr>
      <w:proofErr w:type="gramStart"/>
      <w:r w:rsidRPr="00E616DE">
        <w:t>"</w:t>
      </w:r>
      <w:r w:rsidRPr="00E616DE">
        <w:rPr>
          <w:b/>
        </w:rPr>
        <w:t>Inexistindo dúvida acerca do domínio</w:t>
      </w:r>
      <w:proofErr w:type="gramEnd"/>
      <w:r w:rsidRPr="00E616DE">
        <w:t xml:space="preserve">, ou de algum direito real sobre o bem, ou sobre os direitos dos titulares do domínio útil, e do domínio direto, em caso de enfiteuse ou aforamento, ou, ainda, inexistindo divisão, hipótese em que o valor da indenização ficará depositado à disposição do juízo enquanto os interessados não resolverem seus conflitos em ações próprias, </w:t>
      </w:r>
      <w:r w:rsidRPr="00E616DE">
        <w:rPr>
          <w:b/>
        </w:rPr>
        <w:t>poderá o expropriando requerer o levantamento de oitenta por cento da indenização depositada, quitados os tributos e publicados os editais, para conhecimento de terceiros, a expensas do expropriante, duas vezes na imprensa local e uma na oficial, decorrido o prazo de trinta dias</w:t>
      </w:r>
      <w:r w:rsidRPr="00E616DE">
        <w:t>.</w:t>
      </w:r>
    </w:p>
    <w:p w:rsidR="00E616DE" w:rsidRDefault="00E616DE" w:rsidP="00E616DE">
      <w:pPr>
        <w:pStyle w:val="Transcrio"/>
        <w:ind w:firstLine="568"/>
      </w:pPr>
      <w:r>
        <w:t>Inicialmente, não prospera a alegação da Autarquia no sentido de que o levantamento da quantia postulada exige o trânsito em julgado da sentença.</w:t>
      </w:r>
    </w:p>
    <w:p w:rsidR="00E616DE" w:rsidRDefault="00E616DE" w:rsidP="00E616DE">
      <w:pPr>
        <w:pStyle w:val="Transcrio"/>
        <w:ind w:firstLine="568"/>
      </w:pPr>
      <w:r>
        <w:t>Não por esta razão. Com efeito, tal raciocínio vai de encontro ao subprincípio expresso na máxima "</w:t>
      </w:r>
      <w:proofErr w:type="spellStart"/>
      <w:proofErr w:type="gramStart"/>
      <w:r>
        <w:t>nemo</w:t>
      </w:r>
      <w:proofErr w:type="spellEnd"/>
      <w:proofErr w:type="gramEnd"/>
      <w:r>
        <w:t xml:space="preserve"> </w:t>
      </w:r>
      <w:proofErr w:type="spellStart"/>
      <w:r>
        <w:t>potest</w:t>
      </w:r>
      <w:proofErr w:type="spellEnd"/>
      <w:r>
        <w:t xml:space="preserve"> </w:t>
      </w:r>
      <w:proofErr w:type="spellStart"/>
      <w:r>
        <w:t>venire</w:t>
      </w:r>
      <w:proofErr w:type="spellEnd"/>
      <w:r>
        <w:t xml:space="preserve"> contra </w:t>
      </w:r>
      <w:proofErr w:type="spellStart"/>
      <w:r>
        <w:t>factum</w:t>
      </w:r>
      <w:proofErr w:type="spellEnd"/>
      <w:r>
        <w:t xml:space="preserve"> </w:t>
      </w:r>
      <w:proofErr w:type="spellStart"/>
      <w:r>
        <w:t>proprium</w:t>
      </w:r>
      <w:proofErr w:type="spellEnd"/>
      <w:r>
        <w:t xml:space="preserve">", pois foi o próprio INCRA quem reconheceu – portanto </w:t>
      </w:r>
      <w:r>
        <w:lastRenderedPageBreak/>
        <w:t>incontroverso – como devido o valor ora postulado, depositando a título de indenização a quantia que entendeu devida quando da avaliação administrativa do bem expropriado.</w:t>
      </w:r>
    </w:p>
    <w:p w:rsidR="00E616DE" w:rsidRDefault="00E616DE" w:rsidP="00E616DE">
      <w:pPr>
        <w:pStyle w:val="Transcrio"/>
        <w:ind w:firstLine="568"/>
      </w:pPr>
      <w:r>
        <w:t xml:space="preserve">Por outro lado, e não obstante definitivamente resolvida </w:t>
      </w:r>
      <w:proofErr w:type="gramStart"/>
      <w:r>
        <w:t>a</w:t>
      </w:r>
      <w:proofErr w:type="gramEnd"/>
      <w:r>
        <w:t xml:space="preserve"> questão concernente ao domínio do imóvel em questão – porquanto homologados os pedidos de desistência formulados por </w:t>
      </w:r>
      <w:proofErr w:type="spellStart"/>
      <w:r>
        <w:t>Fenelon</w:t>
      </w:r>
      <w:proofErr w:type="spellEnd"/>
      <w:r>
        <w:t xml:space="preserve"> Barbosa Sales nestes autos e nos autos da ação de usucapião e declaratória de produtividade por ele ajuizadas (conforme se pode verificar do Sistema de Consulta Processual desta Corte) –, a presença do espólio no feito impede o levantamento, nesta Justiça Especializada, do valor em questão.</w:t>
      </w:r>
    </w:p>
    <w:p w:rsidR="00E616DE" w:rsidRDefault="00E616DE" w:rsidP="00E616DE">
      <w:pPr>
        <w:pStyle w:val="Transcrio"/>
        <w:ind w:firstLine="568"/>
      </w:pPr>
      <w:r>
        <w:t>Conforme assentado à fl. 602 pelo juízo de base:</w:t>
      </w:r>
    </w:p>
    <w:p w:rsidR="00E616DE" w:rsidRDefault="00E616DE" w:rsidP="00E616DE">
      <w:pPr>
        <w:pStyle w:val="transcrio3"/>
      </w:pPr>
      <w:r>
        <w:t xml:space="preserve">"(...) o valor da indenização nos presentes autos compõe, em parte, o espólio. Assim, tais valores ficarão vinculados </w:t>
      </w:r>
      <w:proofErr w:type="gramStart"/>
      <w:r>
        <w:t>a</w:t>
      </w:r>
      <w:proofErr w:type="gramEnd"/>
      <w:r>
        <w:t xml:space="preserve"> mencionada ação de inventário, salvo a superveniência de formal de partilha.".</w:t>
      </w:r>
    </w:p>
    <w:p w:rsidR="00E616DE" w:rsidRDefault="00E616DE" w:rsidP="00E616DE">
      <w:pPr>
        <w:pStyle w:val="Transcrio"/>
        <w:ind w:firstLine="568"/>
      </w:pPr>
      <w:r>
        <w:t>Assim, e nos termos do art. 992 do CPC/73 (art. 619 do CPC/2015), os atos que tenham repercussões sobre os bens do espólio somente poderão ser praticados pelo inventariante mediante autorização do Juízo do inventário, após a oitiva dos interessados, evidentemente, naquele Juízo.</w:t>
      </w:r>
    </w:p>
    <w:p w:rsidR="00C07853" w:rsidRDefault="00E616DE" w:rsidP="00E616DE">
      <w:pPr>
        <w:pStyle w:val="Transcrio"/>
        <w:ind w:firstLine="568"/>
      </w:pPr>
      <w:r>
        <w:t>Nesse sentido:</w:t>
      </w:r>
    </w:p>
    <w:p w:rsidR="00E616DE" w:rsidRDefault="00E616DE" w:rsidP="00E616DE">
      <w:pPr>
        <w:pStyle w:val="transcrio3"/>
      </w:pPr>
      <w:r>
        <w:t>(...)</w:t>
      </w:r>
    </w:p>
    <w:p w:rsidR="00E616DE" w:rsidRDefault="00E616DE" w:rsidP="00E616DE">
      <w:pPr>
        <w:pStyle w:val="Transcrio"/>
        <w:ind w:firstLine="568"/>
      </w:pPr>
      <w:r>
        <w:t xml:space="preserve">De outro modo, vê-se obstado o levantamento pretendido, também, na hipótese de "divisão" (LC/73, § 1º, art. 6º). Com efeito, e uma vez aberta </w:t>
      </w:r>
      <w:proofErr w:type="gramStart"/>
      <w:r>
        <w:t>a</w:t>
      </w:r>
      <w:proofErr w:type="gramEnd"/>
      <w:r>
        <w:t xml:space="preserve"> sucessão com a morte do </w:t>
      </w:r>
      <w:proofErr w:type="spellStart"/>
      <w:r>
        <w:t>hereditando</w:t>
      </w:r>
      <w:proofErr w:type="spellEnd"/>
      <w:r>
        <w:t xml:space="preserve">, estabelece-se um condomínio e composse "pro indiviso" entre os herdeiros decorrente da </w:t>
      </w:r>
      <w:proofErr w:type="spellStart"/>
      <w:r>
        <w:t>saisine</w:t>
      </w:r>
      <w:proofErr w:type="spellEnd"/>
      <w:r>
        <w:t>, passando, cada um, à titularidade do acervo hereditário, condomínio este que se extingue com a partilha, a cargo do Juízo Sucessório, cumprindo a este, portanto, analisar as questões concernentes à comunhão hereditária, na qual se inclui o crédito em questão.</w:t>
      </w:r>
    </w:p>
    <w:p w:rsidR="00E616DE" w:rsidRDefault="00E616DE" w:rsidP="00E616DE">
      <w:pPr>
        <w:pStyle w:val="Transcrio"/>
        <w:ind w:firstLine="568"/>
      </w:pPr>
      <w:r>
        <w:t>É de se indeferir, portanto, e nestes autos, o pedido de levantamento formulado.</w:t>
      </w:r>
    </w:p>
    <w:p w:rsidR="00E616DE" w:rsidRDefault="00E616DE" w:rsidP="00E616DE">
      <w:pPr>
        <w:pStyle w:val="Transcrio"/>
        <w:ind w:firstLine="568"/>
      </w:pPr>
      <w:r>
        <w:t xml:space="preserve">Esclareça-se, todavia, não haver mais </w:t>
      </w:r>
      <w:proofErr w:type="gramStart"/>
      <w:r>
        <w:t>óbices decorrente destes autos</w:t>
      </w:r>
      <w:proofErr w:type="gramEnd"/>
      <w:r>
        <w:t xml:space="preserve"> para o levantamento do valor postulado (80% do depósito inicial prévio), porquanto a dúvida concernente ao domínio, repita-se, fora definitivamente resolvida com a homologação do pedido de desistência dos recursos interpostos por </w:t>
      </w:r>
      <w:proofErr w:type="spellStart"/>
      <w:r>
        <w:t>Fenelon</w:t>
      </w:r>
      <w:proofErr w:type="spellEnd"/>
      <w:r>
        <w:t xml:space="preserve"> Barbosa Sales, cumprindo, agora, ao Juízo Sucessório verificar a existência de algum impedimento outro afeto à sua competência.</w:t>
      </w:r>
    </w:p>
    <w:p w:rsidR="00E616DE" w:rsidRDefault="00E616DE" w:rsidP="000C09AF">
      <w:pPr>
        <w:pStyle w:val="Identificao"/>
        <w:spacing w:before="120"/>
        <w:ind w:firstLine="709"/>
      </w:pPr>
      <w:r>
        <w:tab/>
        <w:t>Posteriormente, por meio do Ofício nº 185/2017, o Juiz de Direito da Vara de Família da Comarca de Porto Nacional/TO solicitou ao Juízo Federal que determinasse à CEF a transferência dos valores provenientes do depósito judicial para a conta judicial vinculada àquele juízo estadual (fls. 1.475).</w:t>
      </w:r>
    </w:p>
    <w:p w:rsidR="00E616DE" w:rsidRDefault="00E616DE" w:rsidP="00E616DE">
      <w:pPr>
        <w:pStyle w:val="Pargrafo"/>
      </w:pPr>
      <w:r>
        <w:t xml:space="preserve">Por sua vez, a CEF informou que “qualquer movimentação ou liberação dos valores supracitados faz-se necessário </w:t>
      </w:r>
      <w:proofErr w:type="gramStart"/>
      <w:r>
        <w:t>a</w:t>
      </w:r>
      <w:proofErr w:type="gramEnd"/>
      <w:r>
        <w:t xml:space="preserve"> anuência expressa do Tribunal Regional Federal 1ª Região onde tramita o processo de Desapropriação” (fls. 1.438/v).</w:t>
      </w:r>
    </w:p>
    <w:p w:rsidR="0090143E" w:rsidRDefault="0090143E" w:rsidP="00E616DE">
      <w:pPr>
        <w:pStyle w:val="Pargrafo"/>
      </w:pPr>
      <w:r>
        <w:t>Portanto, tudo indica que o pleito deve ser atendido no sentido de autorizar a CEF a liberar o valor do depósito ao juízo sucessório.</w:t>
      </w:r>
    </w:p>
    <w:p w:rsidR="0090143E" w:rsidRDefault="0090143E" w:rsidP="00E616DE">
      <w:pPr>
        <w:pStyle w:val="Pargrafo"/>
      </w:pPr>
      <w:r>
        <w:t>Contudo, mesmo considerando que o INCRA já tenha se manifestado favoravelmente ao levantamento</w:t>
      </w:r>
      <w:r w:rsidR="00DB533A">
        <w:t xml:space="preserve"> do montante correspondente a 80% (oitenta por cento) da indenização</w:t>
      </w:r>
      <w:r>
        <w:t xml:space="preserve">, inclusive em sua </w:t>
      </w:r>
      <w:r w:rsidR="00DB533A">
        <w:t>resposta</w:t>
      </w:r>
      <w:r>
        <w:t xml:space="preserve"> aos embargos declaratórios (fls. 1.390, 5º parágrafo), em </w:t>
      </w:r>
      <w:r>
        <w:lastRenderedPageBreak/>
        <w:t>respeito ao contraditório e em especial ao que consta no §1º do art. 437 do CPC, determino a manifestação do INCRA no prazo legal.</w:t>
      </w:r>
    </w:p>
    <w:p w:rsidR="00DB533A" w:rsidRDefault="00DB533A" w:rsidP="00E616DE">
      <w:pPr>
        <w:pStyle w:val="Pargrafo"/>
      </w:pPr>
      <w:r>
        <w:t>Intime-se. Publique-se</w:t>
      </w:r>
    </w:p>
    <w:p w:rsidR="000C09AF" w:rsidRDefault="00E616DE" w:rsidP="00DB533A">
      <w:pPr>
        <w:pStyle w:val="Identificao"/>
        <w:spacing w:before="120"/>
        <w:ind w:firstLine="709"/>
      </w:pPr>
      <w:r>
        <w:tab/>
      </w:r>
      <w:r w:rsidR="00DB533A">
        <w:t>Ap</w:t>
      </w:r>
      <w:r w:rsidR="000C09AF">
        <w:t>ós, voltem os autos conclusos.</w:t>
      </w:r>
    </w:p>
    <w:p w:rsidR="000C09AF" w:rsidRDefault="00E616DE" w:rsidP="000C09AF">
      <w:pPr>
        <w:pStyle w:val="Identificao"/>
        <w:spacing w:before="120"/>
      </w:pPr>
      <w:r>
        <w:t xml:space="preserve"> </w:t>
      </w:r>
      <w:r>
        <w:tab/>
      </w:r>
      <w:r>
        <w:tab/>
        <w:t xml:space="preserve">Brasília, </w:t>
      </w:r>
      <w:r w:rsidR="009C0052">
        <w:t>21</w:t>
      </w:r>
      <w:r>
        <w:t xml:space="preserve"> de </w:t>
      </w:r>
      <w:r w:rsidR="009C0052">
        <w:t>setembr</w:t>
      </w:r>
      <w:r w:rsidR="000C09AF">
        <w:t>o de 2017.</w:t>
      </w:r>
    </w:p>
    <w:p w:rsidR="000C09AF" w:rsidRDefault="000C09AF" w:rsidP="000C09AF">
      <w:pPr>
        <w:pStyle w:val="Identificao"/>
        <w:spacing w:before="120"/>
      </w:pPr>
    </w:p>
    <w:p w:rsidR="000C09AF" w:rsidRDefault="000C09AF" w:rsidP="000C09AF">
      <w:pPr>
        <w:pStyle w:val="assinatura"/>
      </w:pPr>
    </w:p>
    <w:p w:rsidR="009C0052" w:rsidRDefault="009C0052" w:rsidP="000C09AF">
      <w:pPr>
        <w:pStyle w:val="assinatura"/>
      </w:pPr>
    </w:p>
    <w:p w:rsidR="000C09AF" w:rsidRDefault="000C09AF" w:rsidP="000C09AF">
      <w:pPr>
        <w:pStyle w:val="assinatura"/>
      </w:pPr>
      <w:r>
        <w:tab/>
        <w:t xml:space="preserve"> </w:t>
      </w:r>
      <w:r>
        <w:tab/>
      </w:r>
      <w:r w:rsidR="009C0052">
        <w:t>Desembargador</w:t>
      </w:r>
      <w:r>
        <w:t xml:space="preserve"> Federal </w:t>
      </w:r>
      <w:r w:rsidR="009C0052">
        <w:rPr>
          <w:b/>
        </w:rPr>
        <w:t>NÉVITON GUEDES</w:t>
      </w:r>
    </w:p>
    <w:p w:rsidR="00830DD3" w:rsidRPr="00C07853" w:rsidRDefault="000C09AF" w:rsidP="000C09AF">
      <w:pPr>
        <w:pStyle w:val="assinatura"/>
      </w:pPr>
      <w:r>
        <w:t xml:space="preserve">                Relator</w:t>
      </w:r>
      <w:r w:rsidR="009C0052">
        <w:t xml:space="preserve"> </w:t>
      </w:r>
    </w:p>
    <w:sectPr w:rsidR="00830DD3" w:rsidRPr="00C07853" w:rsidSect="004554A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299" w:rsidRDefault="00DB1299">
      <w:r>
        <w:separator/>
      </w:r>
    </w:p>
  </w:endnote>
  <w:endnote w:type="continuationSeparator" w:id="0">
    <w:p w:rsidR="00DB1299" w:rsidRDefault="00DB1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299" w:rsidRDefault="00DB1299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31228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E31228">
      <w:rPr>
        <w:rFonts w:ascii="Arial" w:hAnsi="Arial"/>
        <w:sz w:val="10"/>
      </w:rPr>
      <w:fldChar w:fldCharType="separate"/>
    </w:r>
    <w:r w:rsidR="00DB533A">
      <w:rPr>
        <w:rFonts w:ascii="Arial" w:hAnsi="Arial"/>
        <w:noProof/>
        <w:sz w:val="10"/>
      </w:rPr>
      <w:t>W:\DR. NÉVITON GUEDES 2a SEÇÃO\ASSESSORIA DECISÕES\5330 - JCB. expedição ofício. desapropriação.docx</w:t>
    </w:r>
    <w:r w:rsidR="00E31228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299" w:rsidRDefault="00DB1299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3122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E31228">
      <w:rPr>
        <w:rFonts w:ascii="Arial" w:hAnsi="Arial"/>
        <w:sz w:val="13"/>
      </w:rPr>
      <w:fldChar w:fldCharType="separate"/>
    </w:r>
    <w:r w:rsidR="00DB533A">
      <w:rPr>
        <w:rFonts w:ascii="Arial" w:hAnsi="Arial"/>
        <w:noProof/>
        <w:sz w:val="13"/>
      </w:rPr>
      <w:t>W:\DR. NÉVITON GUEDES 2a SEÇÃO\ASSESSORIA DECISÕES\5330 - JCB. expedição ofício. desapropriação.docx</w:t>
    </w:r>
    <w:r w:rsidR="00E31228">
      <w:rPr>
        <w:rFonts w:ascii="Arial" w:hAnsi="Arial"/>
        <w:sz w:val="13"/>
      </w:rPr>
      <w:fldChar w:fldCharType="end"/>
    </w:r>
  </w:p>
  <w:p w:rsidR="00DB1299" w:rsidRDefault="00DB1299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E3122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E31228">
      <w:rPr>
        <w:rFonts w:ascii="Arial" w:hAnsi="Arial"/>
        <w:sz w:val="13"/>
      </w:rPr>
      <w:fldChar w:fldCharType="separate"/>
    </w:r>
    <w:r w:rsidR="00DB533A">
      <w:rPr>
        <w:rFonts w:ascii="Arial" w:hAnsi="Arial"/>
        <w:noProof/>
        <w:sz w:val="13"/>
      </w:rPr>
      <w:t>tr300919</w:t>
    </w:r>
    <w:r w:rsidR="00E31228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299" w:rsidRDefault="00DB1299">
      <w:r>
        <w:separator/>
      </w:r>
    </w:p>
  </w:footnote>
  <w:footnote w:type="continuationSeparator" w:id="0">
    <w:p w:rsidR="00DB1299" w:rsidRDefault="00DB12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299" w:rsidRDefault="00DB1299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B1299" w:rsidRDefault="00DB1299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E3122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E31228">
      <w:rPr>
        <w:rFonts w:ascii="Arial" w:hAnsi="Arial" w:cs="Arial"/>
        <w:bCs/>
        <w:sz w:val="16"/>
      </w:rPr>
      <w:fldChar w:fldCharType="separate"/>
    </w:r>
    <w:r w:rsidR="00DB533A">
      <w:rPr>
        <w:rFonts w:ascii="Arial" w:hAnsi="Arial" w:cs="Arial"/>
        <w:bCs/>
        <w:noProof/>
        <w:sz w:val="16"/>
      </w:rPr>
      <w:t>3</w:t>
    </w:r>
    <w:r w:rsidR="00E31228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E3122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E31228">
      <w:rPr>
        <w:rFonts w:ascii="Arial" w:hAnsi="Arial" w:cs="Arial"/>
        <w:bCs/>
        <w:sz w:val="16"/>
      </w:rPr>
      <w:fldChar w:fldCharType="separate"/>
    </w:r>
    <w:r w:rsidR="00DB533A">
      <w:rPr>
        <w:rFonts w:ascii="Arial" w:hAnsi="Arial" w:cs="Arial"/>
        <w:bCs/>
        <w:noProof/>
        <w:sz w:val="16"/>
      </w:rPr>
      <w:t>3</w:t>
    </w:r>
    <w:r w:rsidR="00E31228">
      <w:rPr>
        <w:rFonts w:ascii="Arial" w:hAnsi="Arial" w:cs="Arial"/>
        <w:bCs/>
        <w:sz w:val="16"/>
      </w:rPr>
      <w:fldChar w:fldCharType="end"/>
    </w:r>
  </w:p>
  <w:p w:rsidR="00E616DE" w:rsidRPr="00E616DE" w:rsidRDefault="00E616DE" w:rsidP="00E616DE">
    <w:pPr>
      <w:pStyle w:val="Identificao"/>
      <w:rPr>
        <w:b/>
        <w:u w:val="single"/>
      </w:rPr>
    </w:pPr>
    <w:r w:rsidRPr="00E616DE">
      <w:rPr>
        <w:b/>
        <w:u w:val="single"/>
      </w:rPr>
      <w:t>APELAÇÃO CÍVEL 2007.43.00.005330-0/TO</w:t>
    </w:r>
  </w:p>
  <w:p w:rsidR="00E616DE" w:rsidRDefault="00E616DE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299" w:rsidRPr="00C07853" w:rsidRDefault="00DB1299" w:rsidP="00C07853">
    <w:pPr>
      <w:jc w:val="right"/>
      <w:rPr>
        <w:rFonts w:ascii="Interleaved 2of5" w:hAnsi="Interleaved 2of5"/>
        <w:sz w:val="48"/>
      </w:rPr>
    </w:pPr>
    <w:r w:rsidRPr="00C07853">
      <w:rPr>
        <w:rFonts w:ascii="Interleaved 2of5" w:hAnsi="Interleaved 2of5"/>
        <w:sz w:val="48"/>
      </w:rPr>
      <w:t>(5Q6Ö0Ø1</w:t>
    </w:r>
    <w:proofErr w:type="gramStart"/>
    <w:r w:rsidRPr="00C07853">
      <w:rPr>
        <w:rFonts w:ascii="Interleaved 2of5" w:hAnsi="Interleaved 2of5"/>
        <w:sz w:val="48"/>
      </w:rPr>
      <w:t>[0</w:t>
    </w:r>
    <w:proofErr w:type="gramEnd"/>
    <w:r w:rsidRPr="00C07853">
      <w:rPr>
        <w:rFonts w:ascii="Interleaved 2of5" w:hAnsi="Interleaved 2of5"/>
        <w:sz w:val="48"/>
      </w:rPr>
      <w:t>)</w:t>
    </w:r>
  </w:p>
  <w:p w:rsidR="00DB1299" w:rsidRDefault="00DB1299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1299" w:rsidRDefault="00DB1299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B1299" w:rsidRDefault="00DB1299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DD3"/>
    <w:rsid w:val="000C09AF"/>
    <w:rsid w:val="000D64AD"/>
    <w:rsid w:val="0015179D"/>
    <w:rsid w:val="00177980"/>
    <w:rsid w:val="00191A8C"/>
    <w:rsid w:val="0023270A"/>
    <w:rsid w:val="002331F7"/>
    <w:rsid w:val="002C305F"/>
    <w:rsid w:val="00351235"/>
    <w:rsid w:val="0035234B"/>
    <w:rsid w:val="00413610"/>
    <w:rsid w:val="004269A8"/>
    <w:rsid w:val="00433C56"/>
    <w:rsid w:val="004554A7"/>
    <w:rsid w:val="00462716"/>
    <w:rsid w:val="00471CDF"/>
    <w:rsid w:val="004C17AC"/>
    <w:rsid w:val="005E20DB"/>
    <w:rsid w:val="006779DE"/>
    <w:rsid w:val="006A4ECE"/>
    <w:rsid w:val="00703292"/>
    <w:rsid w:val="007A7066"/>
    <w:rsid w:val="007C3424"/>
    <w:rsid w:val="00830DD3"/>
    <w:rsid w:val="008713AE"/>
    <w:rsid w:val="00872397"/>
    <w:rsid w:val="008A3D69"/>
    <w:rsid w:val="008C0C99"/>
    <w:rsid w:val="008C4395"/>
    <w:rsid w:val="0090143E"/>
    <w:rsid w:val="009335D9"/>
    <w:rsid w:val="00980EC8"/>
    <w:rsid w:val="0099169E"/>
    <w:rsid w:val="009C0052"/>
    <w:rsid w:val="00B11358"/>
    <w:rsid w:val="00BE042C"/>
    <w:rsid w:val="00C07853"/>
    <w:rsid w:val="00C5492A"/>
    <w:rsid w:val="00CD06CE"/>
    <w:rsid w:val="00D221D6"/>
    <w:rsid w:val="00DB1299"/>
    <w:rsid w:val="00DB533A"/>
    <w:rsid w:val="00DD0AC9"/>
    <w:rsid w:val="00E31228"/>
    <w:rsid w:val="00E616DE"/>
    <w:rsid w:val="00E73C36"/>
    <w:rsid w:val="00E850E4"/>
    <w:rsid w:val="00EE6447"/>
    <w:rsid w:val="00FC6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798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77980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177980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77980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77980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77980"/>
    <w:pPr>
      <w:ind w:left="2835"/>
    </w:pPr>
  </w:style>
  <w:style w:type="paragraph" w:customStyle="1" w:styleId="transcrio3">
    <w:name w:val="transcrição 3"/>
    <w:basedOn w:val="Identificao"/>
    <w:rsid w:val="00177980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77980"/>
    <w:pPr>
      <w:ind w:left="4536"/>
    </w:pPr>
  </w:style>
  <w:style w:type="paragraph" w:customStyle="1" w:styleId="assinatura">
    <w:name w:val="assinatura"/>
    <w:basedOn w:val="Pargrafo"/>
    <w:rsid w:val="00177980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77980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078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07853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980E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80E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962B5-E594-4654-B212-55079A3DC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19</TotalTime>
  <Pages>3</Pages>
  <Words>890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tr300919</dc:creator>
  <cp:lastModifiedBy>tr190703</cp:lastModifiedBy>
  <cp:revision>3</cp:revision>
  <cp:lastPrinted>2017-09-21T19:11:00Z</cp:lastPrinted>
  <dcterms:created xsi:type="dcterms:W3CDTF">2017-09-21T19:03:00Z</dcterms:created>
  <dcterms:modified xsi:type="dcterms:W3CDTF">2017-09-21T19:21:00Z</dcterms:modified>
</cp:coreProperties>
</file>