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29" w:rsidRDefault="00553129" w:rsidP="00311801">
      <w:pPr>
        <w:pStyle w:val="TextosemFormatao"/>
        <w:rPr>
          <w:rFonts w:ascii="Courier New" w:hAnsi="Courier New" w:cs="Courier New"/>
        </w:rPr>
      </w:pPr>
    </w:p>
    <w:p w:rsidR="00553129" w:rsidRPr="00D93FE7" w:rsidRDefault="00553129" w:rsidP="00553129">
      <w:pPr>
        <w:pStyle w:val="Identificao"/>
      </w:pPr>
      <w:r w:rsidRPr="00D93FE7">
        <w:t xml:space="preserve">Numeração Única: 55145020064013300 </w:t>
      </w:r>
    </w:p>
    <w:p w:rsidR="00553129" w:rsidRPr="00D93FE7" w:rsidRDefault="00553129" w:rsidP="00553129">
      <w:pPr>
        <w:pStyle w:val="Identificao"/>
      </w:pPr>
      <w:r w:rsidRPr="00D93FE7">
        <w:t>APELAÇÃO/REEXAME NECESSÁRIO  0005514-50.2006.4.01.3300 (2006.33.00.005517-6)/BA</w:t>
      </w:r>
    </w:p>
    <w:p w:rsidR="00553129" w:rsidRPr="00D93FE7" w:rsidRDefault="00553129" w:rsidP="00553129">
      <w:pPr>
        <w:pStyle w:val="Identificao"/>
      </w:pPr>
      <w:r w:rsidRPr="00D93FE7">
        <w:t>Processo na Origem: 200633000055176</w:t>
      </w:r>
    </w:p>
    <w:p w:rsidR="00553129" w:rsidRDefault="00553129" w:rsidP="00553129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RELATOR(A) CONVOCADO(A)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JUIZ FEDERAL ANTONIO OSWALDO SCARPA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INSTITUTO NACIONAL DO SEGURO SOCIAL - INSS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ADRIANA MAIA VENTURINI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FUNDACAO PETROBRAS DE SEGURIDADE SOCIAL - PETROS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MARCUS JOSE ANDRADE DE OLIVEIRA E OUTROS(AS)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CELESTE MARIA SANTANA DOS SANTOS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ADVOGADO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JANAINA C. R. JENKIS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APELADO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GILDETE SOUZA DE SOUZA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DEFENSOR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DEFENSORIA PUBLICA DA UNIAO - DPU </w:t>
            </w:r>
          </w:p>
        </w:tc>
      </w:tr>
      <w:tr w:rsidR="00553129" w:rsidRPr="00553129" w:rsidTr="00553129">
        <w:tc>
          <w:tcPr>
            <w:tcW w:w="20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REMETENTE</w:t>
            </w:r>
          </w:p>
        </w:tc>
        <w:tc>
          <w:tcPr>
            <w:tcW w:w="3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>:</w:t>
            </w:r>
          </w:p>
        </w:tc>
        <w:tc>
          <w:tcPr>
            <w:tcW w:w="7600" w:type="dxa"/>
            <w:shd w:val="clear" w:color="auto" w:fill="auto"/>
          </w:tcPr>
          <w:p w:rsidR="00553129" w:rsidRPr="00553129" w:rsidRDefault="00553129" w:rsidP="00553129">
            <w:pPr>
              <w:pStyle w:val="Identificao"/>
            </w:pPr>
            <w:r w:rsidRPr="00553129">
              <w:t xml:space="preserve">JUIZO FEDERAL DA 6A VARA - BA </w:t>
            </w:r>
          </w:p>
        </w:tc>
      </w:tr>
    </w:tbl>
    <w:p w:rsidR="00553129" w:rsidRDefault="00553129" w:rsidP="00553129">
      <w:pPr>
        <w:pStyle w:val="Identificao"/>
      </w:pPr>
    </w:p>
    <w:p w:rsidR="00357DA5" w:rsidRDefault="00357DA5" w:rsidP="00357DA5">
      <w:pPr>
        <w:pStyle w:val="centralizar"/>
        <w:rPr>
          <w:rFonts w:cs="Arial"/>
          <w:szCs w:val="22"/>
        </w:rPr>
      </w:pPr>
      <w:r>
        <w:rPr>
          <w:rFonts w:cs="Arial"/>
          <w:szCs w:val="22"/>
        </w:rPr>
        <w:t>R E L A T Ó R I O</w:t>
      </w:r>
    </w:p>
    <w:p w:rsidR="00357DA5" w:rsidRDefault="00357DA5" w:rsidP="00357DA5">
      <w:pPr>
        <w:pStyle w:val="centralizar"/>
        <w:rPr>
          <w:rFonts w:cs="Arial"/>
          <w:szCs w:val="22"/>
        </w:rPr>
      </w:pPr>
      <w:r>
        <w:rPr>
          <w:rFonts w:cs="Arial"/>
          <w:szCs w:val="22"/>
        </w:rPr>
        <w:tab/>
        <w:t>O Exmo. Sr. Juiz Federal ANTONIO OSWALDO SCARPA (Relator Convocado):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Tratam-se de apelações interpostas por todos os réus, quais sejam, INSS, PETROS e Celeste Maria Santana dos Santos, contra a sentença, que julgou parcialmente procedentes os pedidos.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Devidamente intimada, a apelada apresentou contrarrazões.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É o relatório.</w:t>
      </w:r>
    </w:p>
    <w:p w:rsidR="00357DA5" w:rsidRDefault="00357DA5" w:rsidP="00357DA5">
      <w:pPr>
        <w:pStyle w:val="Pargrafo"/>
        <w:ind w:firstLine="0"/>
        <w:rPr>
          <w:rFonts w:cs="Arial"/>
          <w:szCs w:val="22"/>
        </w:rPr>
      </w:pPr>
    </w:p>
    <w:p w:rsidR="00357DA5" w:rsidRDefault="00357DA5" w:rsidP="00357DA5">
      <w:pPr>
        <w:pStyle w:val="Pargrafo"/>
        <w:ind w:firstLine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VOTO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Os três apelantes postulam a reforma da sentença que deferiu o rateio em partes iguais da pensão por morte entre a </w:t>
      </w:r>
      <w:proofErr w:type="spellStart"/>
      <w:r>
        <w:rPr>
          <w:rFonts w:cs="Arial"/>
          <w:szCs w:val="22"/>
        </w:rPr>
        <w:t>ex-cônjuge</w:t>
      </w:r>
      <w:proofErr w:type="spellEnd"/>
      <w:r>
        <w:rPr>
          <w:rFonts w:cs="Arial"/>
          <w:szCs w:val="22"/>
        </w:rPr>
        <w:t xml:space="preserve"> do falecido, ora apelada, e a companheira dele à época do óbito, desde o requerimento administrativo, ao argumento de que a apelada renunciou à pensão alimentícia à época da separação judicial, a revelar que não dependia economicamente do falecido. A PETROS requer que, em caso de procedência, o rateio da pensão seja realizado a partir do trânsito em julgado, uma vez que a dependência econômica somente foi comprovada no curso da demanda. 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As apelações não merecem prosperar. 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Com efeito, a controvérsia cinge-se em perquirir se é o não devido o rateio da pensão entre a apelada, </w:t>
      </w:r>
      <w:proofErr w:type="spellStart"/>
      <w:r>
        <w:rPr>
          <w:rFonts w:cs="Arial"/>
          <w:szCs w:val="22"/>
        </w:rPr>
        <w:t>ex-cônjuge</w:t>
      </w:r>
      <w:proofErr w:type="spellEnd"/>
      <w:r>
        <w:rPr>
          <w:rFonts w:cs="Arial"/>
          <w:szCs w:val="22"/>
        </w:rPr>
        <w:t xml:space="preserve"> do falecido e a companheira dele à época do óbito, ora apelante, tendo em vista a renúncia, por parte da apelada, da prestação de alimentos pelo falecido, por ocasião da separação judicial.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Na hipótese, embora o art. 76, §2º da Lei 8.213/91 disponha que o cônjuge divorciado ou separado judicialmente ou de fato que recebia pensão de alimentos concorrerá em igualdade de condições com os dependentes de primeira classe, entendo que tal dispositivo não </w:t>
      </w:r>
      <w:r>
        <w:rPr>
          <w:rFonts w:cs="Arial"/>
          <w:szCs w:val="22"/>
        </w:rPr>
        <w:lastRenderedPageBreak/>
        <w:t xml:space="preserve">afasta, necessariamente, o direito ao recebimento da pensão pelo </w:t>
      </w:r>
      <w:proofErr w:type="spellStart"/>
      <w:r>
        <w:rPr>
          <w:rFonts w:cs="Arial"/>
          <w:szCs w:val="22"/>
        </w:rPr>
        <w:t>ex-cônjuge</w:t>
      </w:r>
      <w:proofErr w:type="spellEnd"/>
      <w:r>
        <w:rPr>
          <w:rFonts w:cs="Arial"/>
          <w:szCs w:val="22"/>
        </w:rPr>
        <w:t xml:space="preserve"> que não </w:t>
      </w:r>
      <w:proofErr w:type="spellStart"/>
      <w:r>
        <w:rPr>
          <w:rFonts w:cs="Arial"/>
          <w:szCs w:val="22"/>
        </w:rPr>
        <w:t>titulariza</w:t>
      </w:r>
      <w:proofErr w:type="spellEnd"/>
      <w:r>
        <w:rPr>
          <w:rFonts w:cs="Arial"/>
          <w:szCs w:val="22"/>
        </w:rPr>
        <w:t xml:space="preserve"> pensão alimentícia, mas sim a presunção de dependência econômica, devendo a interessada, então, demonstrar a necessidade dos alimentos na data do óbito. 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Neste sentido:</w:t>
      </w:r>
    </w:p>
    <w:p w:rsidR="00357DA5" w:rsidRDefault="00357DA5" w:rsidP="00357DA5">
      <w:pPr>
        <w:pStyle w:val="Pargrafo"/>
        <w:rPr>
          <w:rFonts w:cs="Arial"/>
          <w:szCs w:val="22"/>
        </w:rPr>
      </w:pPr>
    </w:p>
    <w:p w:rsidR="00357DA5" w:rsidRDefault="00357DA5" w:rsidP="00357DA5">
      <w:pPr>
        <w:ind w:left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PREVIDENCIÁRIO. PENSÃO POR MORTE. SEPARAÇÃO JUDICIAL. INEXISTÊNCIA DE PENSÃO ALIMENTÍCIA. DEPENDÊNCIA ECONÔMICA COMPROVADA. POSSIBILIDADE DE DEFERIMENTO DA PRESTAÇÃO. </w:t>
      </w:r>
      <w:r>
        <w:rPr>
          <w:rFonts w:ascii="Arial" w:hAnsi="Arial" w:cs="Arial"/>
          <w:sz w:val="20"/>
          <w:szCs w:val="20"/>
        </w:rPr>
        <w:t>1. Estando separada judicialmente do seu antigo marido à época em que ele veio a óbito, e não recebendo pensão alimentícia como consequência da mencionada ruptura conjugal, pode a autora ser considerada como dependente do segurado para fins previdenciários, tendo sido comprovada a necessidade atual do benefício. 2. "A mulher que renunciou aos alimentos na separação judicial tem direito à pensão previdenciária por morte do ex-marido, comprovada a necessidade econômica superveniente" (Súmula 336 do STJ). 3. Sentença mantida. Apelação desprovida.</w:t>
      </w:r>
      <w:r>
        <w:rPr>
          <w:rFonts w:ascii="Arial" w:hAnsi="Arial" w:cs="Arial"/>
          <w:sz w:val="20"/>
          <w:szCs w:val="20"/>
        </w:rPr>
        <w:br/>
        <w:t>(AC 00014044520064013805, JUIZ FEDERAL MURILO FERNANDES DE ALMEIDA (CONV.), TRF1 - 1ª CÂMARA REGIONAL PREVIDENCIÁRIA DE MINAS GERAIS, e-DJF1 DATA:26/05/2015 PAGINA:409.)</w:t>
      </w:r>
    </w:p>
    <w:p w:rsidR="00357DA5" w:rsidRDefault="00357DA5" w:rsidP="00357DA5">
      <w:pPr>
        <w:pStyle w:val="Pargrafo"/>
        <w:ind w:left="1800" w:firstLine="0"/>
        <w:rPr>
          <w:rFonts w:cs="Arial"/>
          <w:sz w:val="20"/>
          <w:szCs w:val="20"/>
        </w:rPr>
      </w:pPr>
    </w:p>
    <w:p w:rsidR="00357DA5" w:rsidRDefault="00357DA5" w:rsidP="00357DA5">
      <w:pPr>
        <w:ind w:left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PREVIDENCIÁRIO. PENSÃO POR MORTE. EX-CÔNJUGE SEPARADA JUDICIALMENTE. DEPENDÊNCIA ECONÔMICA PRESUMIDA. SÚMULA STJ 336. ART. 1704 DO CC/2002 C/C 76, §2º, DA LEI 8213/91. BENEFÍCIO CONCEDIDO. RENDA MENSAL INICIAL. FIXAÇÃO NOS TERMOS DA LEI 8213/91, ARTS. 75 E 77. IRRELEVÂNCIA DOS VALORES DA PENSÃO OU DOS PERCENTUAIS SOBRE A REMUNERAÇÃO DO FALECIDO PARA FIXAÇÃO DA RENDA MENSAL. OBSERVÂNCIA DO MANUAL DE CÁLCULOS DA JUSTIÇA FEDERAL. HONORÁRIOS. OBSERVÂNCIA DA SÚMULA STJ 111 1. A lei aplicável aos casos de pensão por morte é aquela em vigor à data do óbito do segurado, em prestígio ao princípio constitucional da irretroatividade da lei. 2. A prova demonstrou dependência econômica presumida da parte autora em relação ao de </w:t>
      </w:r>
      <w:proofErr w:type="spellStart"/>
      <w:r>
        <w:rPr>
          <w:rFonts w:ascii="Arial" w:hAnsi="Arial" w:cs="Arial"/>
          <w:sz w:val="20"/>
          <w:szCs w:val="20"/>
        </w:rPr>
        <w:t>cujus</w:t>
      </w:r>
      <w:proofErr w:type="spellEnd"/>
      <w:r>
        <w:rPr>
          <w:rFonts w:ascii="Arial" w:hAnsi="Arial" w:cs="Arial"/>
          <w:sz w:val="20"/>
          <w:szCs w:val="20"/>
        </w:rPr>
        <w:t xml:space="preserve"> na data do óbito em razão da percepção de pensão alimentícia. </w:t>
      </w:r>
      <w:r>
        <w:rPr>
          <w:rFonts w:ascii="Arial" w:hAnsi="Arial" w:cs="Arial"/>
          <w:b/>
          <w:sz w:val="20"/>
          <w:szCs w:val="20"/>
          <w:u w:val="single"/>
        </w:rPr>
        <w:t xml:space="preserve">Mesmo nos casos em que o </w:t>
      </w:r>
      <w:proofErr w:type="spellStart"/>
      <w:r>
        <w:rPr>
          <w:rFonts w:ascii="Arial" w:hAnsi="Arial" w:cs="Arial"/>
          <w:b/>
          <w:sz w:val="20"/>
          <w:szCs w:val="20"/>
          <w:u w:val="single"/>
        </w:rPr>
        <w:t>ex-conjuge</w:t>
      </w:r>
      <w:proofErr w:type="spellEnd"/>
      <w:r>
        <w:rPr>
          <w:rFonts w:ascii="Arial" w:hAnsi="Arial" w:cs="Arial"/>
          <w:b/>
          <w:sz w:val="20"/>
          <w:szCs w:val="20"/>
          <w:u w:val="single"/>
        </w:rPr>
        <w:t xml:space="preserve"> renunciou aos alimentos na separação ou divórcio, há possibilidade de demonstração da necessidade dos alimentos na data do óbito. Aplicação da Súmula STJ 336</w:t>
      </w:r>
      <w:r>
        <w:rPr>
          <w:rFonts w:ascii="Arial" w:hAnsi="Arial" w:cs="Arial"/>
          <w:sz w:val="20"/>
          <w:szCs w:val="20"/>
        </w:rPr>
        <w:t>. Art. 1704 do CC/2002 c/c art. 76, §2º, da lei 8231/91.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Benefício de pensão concedido. 3. A renda mensal do benefício não guarda relação com a remuneração ou a pensão recebida, sendo fixada legalmente nos </w:t>
      </w:r>
      <w:proofErr w:type="spellStart"/>
      <w:r>
        <w:rPr>
          <w:rFonts w:ascii="Arial" w:hAnsi="Arial" w:cs="Arial"/>
          <w:sz w:val="20"/>
          <w:szCs w:val="20"/>
        </w:rPr>
        <w:t>arts</w:t>
      </w:r>
      <w:proofErr w:type="spellEnd"/>
      <w:r>
        <w:rPr>
          <w:rFonts w:ascii="Arial" w:hAnsi="Arial" w:cs="Arial"/>
          <w:sz w:val="20"/>
          <w:szCs w:val="20"/>
        </w:rPr>
        <w:t>. 75 e 77 da lei 8213/91. Apelação da parte autora provida. 4. Os honorários devem ser mantidos no percentual de 10¨% da condenação, limitada esta às parcelas vencidas até a sentença. Os juros e correção monetária devem observar o Manual de Cálculos da Justiça Federal. Apelação do INSS parcialmente provida.</w:t>
      </w:r>
      <w:r>
        <w:rPr>
          <w:rFonts w:ascii="Arial" w:hAnsi="Arial" w:cs="Arial"/>
          <w:sz w:val="20"/>
          <w:szCs w:val="20"/>
        </w:rPr>
        <w:br/>
        <w:t>(AC 00021257220104019199, JUIZ FEDERAL MÁRCIO JOSE DE AGUIAR BARBOSA, TRF1 - 1ª CÂMARA REGIONAL PREVIDENCIÁRIA DE MINAS GERAIS, e-DJF1 DATA:21/08/2015 PAGINA:2143.)</w:t>
      </w:r>
    </w:p>
    <w:p w:rsidR="00357DA5" w:rsidRDefault="00357DA5" w:rsidP="00357DA5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i/>
          <w:szCs w:val="22"/>
        </w:rPr>
        <w:t xml:space="preserve">In </w:t>
      </w:r>
      <w:proofErr w:type="spellStart"/>
      <w:r>
        <w:rPr>
          <w:rFonts w:cs="Arial"/>
          <w:i/>
          <w:szCs w:val="22"/>
        </w:rPr>
        <w:t>casu</w:t>
      </w:r>
      <w:proofErr w:type="spellEnd"/>
      <w:r>
        <w:rPr>
          <w:rFonts w:cs="Arial"/>
          <w:szCs w:val="22"/>
        </w:rPr>
        <w:t xml:space="preserve">, a autora logrou demonstrar, através dos depoimentos prestados em audiência, que dependia economicamente do falecido, fazendo jus, portanto, ao recebimento de 50% da pensão, tendo em vista que o </w:t>
      </w:r>
      <w:r>
        <w:rPr>
          <w:rFonts w:cs="Arial"/>
          <w:i/>
          <w:szCs w:val="22"/>
        </w:rPr>
        <w:t xml:space="preserve">de </w:t>
      </w:r>
      <w:proofErr w:type="spellStart"/>
      <w:r>
        <w:rPr>
          <w:rFonts w:cs="Arial"/>
          <w:i/>
          <w:szCs w:val="22"/>
        </w:rPr>
        <w:t>cujus</w:t>
      </w:r>
      <w:proofErr w:type="spellEnd"/>
      <w:r>
        <w:rPr>
          <w:rFonts w:cs="Arial"/>
          <w:szCs w:val="22"/>
        </w:rPr>
        <w:t xml:space="preserve"> tinha companheira, ora apelante, à época do óbito, a quem cabe a outra metade da pensão. 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Quanto ao termo inicial do benefício, entendo que deve ser mantido na data do requerimento administrativo, nos termos do art. 74, II da Lei 8.213/91.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No que concerne à parcela devida pelo PETROS, também deverá ser rateada em partes iguais entre a apelada e a Sra. Celeste Maria Santana dos Santos, uma vez que, conforme bem salientado na sentença combatida, trata-se de previdência de natureza suplementar, estando vinculada às prestações concedidas pelo INSS. A tese de concessão do benefício somente após o trânsito em julgado também não merece acolhida, uma vez que a autora demonstrou que sempre dependeu economicamente do falecido. 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lastRenderedPageBreak/>
        <w:t>Em relação às disposições sobre juros e atualização monetária, tem-se que o STF, quando do julgamento do RE 559.445-</w:t>
      </w:r>
      <w:proofErr w:type="spellStart"/>
      <w:r>
        <w:rPr>
          <w:rFonts w:eastAsia="MS Mincho" w:cs="Arial"/>
          <w:bCs/>
          <w:szCs w:val="22"/>
        </w:rPr>
        <w:t>AgR</w:t>
      </w:r>
      <w:proofErr w:type="spellEnd"/>
      <w:r>
        <w:rPr>
          <w:rFonts w:eastAsia="MS Mincho" w:cs="Arial"/>
          <w:bCs/>
          <w:szCs w:val="22"/>
        </w:rPr>
        <w:t xml:space="preserve">/PR, de relatoria da eminente Ministra Ellen </w:t>
      </w:r>
      <w:proofErr w:type="spellStart"/>
      <w:r>
        <w:rPr>
          <w:rFonts w:eastAsia="MS Mincho" w:cs="Arial"/>
          <w:bCs/>
          <w:szCs w:val="22"/>
        </w:rPr>
        <w:t>Gracie</w:t>
      </w:r>
      <w:proofErr w:type="spellEnd"/>
      <w:r>
        <w:rPr>
          <w:rFonts w:eastAsia="MS Mincho" w:cs="Arial"/>
          <w:bCs/>
          <w:szCs w:val="22"/>
        </w:rPr>
        <w:t xml:space="preserve">, acolheu a tese de incidência imediata, nos processos em curso, de legislação que verse sobre correção monetária e juros de mora. 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Consoante o que ali decidido, não se cuidaria, no caso, de retroatividade, mas sim  “de incidência imediata de lei processual sob a tutela do princípio </w:t>
      </w:r>
      <w:proofErr w:type="spellStart"/>
      <w:r>
        <w:rPr>
          <w:rFonts w:eastAsia="MS Mincho" w:cs="Arial"/>
          <w:bCs/>
          <w:i/>
          <w:szCs w:val="22"/>
        </w:rPr>
        <w:t>tempus</w:t>
      </w:r>
      <w:proofErr w:type="spellEnd"/>
      <w:r>
        <w:rPr>
          <w:rFonts w:eastAsia="MS Mincho" w:cs="Arial"/>
          <w:bCs/>
          <w:i/>
          <w:szCs w:val="22"/>
        </w:rPr>
        <w:t xml:space="preserve"> </w:t>
      </w:r>
      <w:proofErr w:type="spellStart"/>
      <w:r>
        <w:rPr>
          <w:rFonts w:eastAsia="MS Mincho" w:cs="Arial"/>
          <w:bCs/>
          <w:i/>
          <w:szCs w:val="22"/>
        </w:rPr>
        <w:t>regit</w:t>
      </w:r>
      <w:proofErr w:type="spellEnd"/>
      <w:r>
        <w:rPr>
          <w:rFonts w:eastAsia="MS Mincho" w:cs="Arial"/>
          <w:bCs/>
          <w:i/>
          <w:szCs w:val="22"/>
        </w:rPr>
        <w:t xml:space="preserve"> </w:t>
      </w:r>
      <w:proofErr w:type="spellStart"/>
      <w:r>
        <w:rPr>
          <w:rFonts w:eastAsia="MS Mincho" w:cs="Arial"/>
          <w:bCs/>
          <w:i/>
          <w:szCs w:val="22"/>
        </w:rPr>
        <w:t>actum</w:t>
      </w:r>
      <w:proofErr w:type="spellEnd"/>
      <w:r>
        <w:rPr>
          <w:rFonts w:eastAsia="MS Mincho" w:cs="Arial"/>
          <w:bCs/>
          <w:szCs w:val="22"/>
        </w:rPr>
        <w:t>, de forma a não atingir situações jurídico-processuais consolidadas sob o regime de lei anterior, mas alcançando os processos pendentes que se regem pela lei nova (</w:t>
      </w:r>
      <w:proofErr w:type="spellStart"/>
      <w:r>
        <w:rPr>
          <w:rFonts w:eastAsia="MS Mincho" w:cs="Arial"/>
          <w:bCs/>
          <w:szCs w:val="22"/>
        </w:rPr>
        <w:t>Rcl</w:t>
      </w:r>
      <w:proofErr w:type="spellEnd"/>
      <w:r>
        <w:rPr>
          <w:rFonts w:eastAsia="MS Mincho" w:cs="Arial"/>
          <w:bCs/>
          <w:szCs w:val="22"/>
        </w:rPr>
        <w:t xml:space="preserve"> 2.683/PR, Re. Min. Cezar </w:t>
      </w:r>
      <w:proofErr w:type="spellStart"/>
      <w:r>
        <w:rPr>
          <w:rFonts w:eastAsia="MS Mincho" w:cs="Arial"/>
          <w:bCs/>
          <w:szCs w:val="22"/>
        </w:rPr>
        <w:t>Peluso</w:t>
      </w:r>
      <w:proofErr w:type="spellEnd"/>
      <w:r>
        <w:rPr>
          <w:rFonts w:eastAsia="MS Mincho" w:cs="Arial"/>
          <w:bCs/>
          <w:szCs w:val="22"/>
        </w:rPr>
        <w:t>, DJ 02.8.2004)”.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Nessa linha de pensamento, deve-se proceder à aplicação da Lei 11.960/2009, que altera a disciplina dos juros de mora nas condenações impostas à Fazenda Pública.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O mesmo raciocínio pode-se deduzir da jurisprudência mais recente do STJ, que, no julgamento dos embargos de divergência no RESP nº 1.207.197/RS (</w:t>
      </w:r>
      <w:r>
        <w:rPr>
          <w:rFonts w:eastAsia="MS Mincho" w:cs="Arial"/>
          <w:b/>
          <w:bCs/>
          <w:szCs w:val="22"/>
        </w:rPr>
        <w:t>CORTE ESPECIAL</w:t>
      </w:r>
      <w:r>
        <w:rPr>
          <w:rFonts w:eastAsia="MS Mincho" w:cs="Arial"/>
          <w:bCs/>
          <w:szCs w:val="22"/>
        </w:rPr>
        <w:t>), julgado em 18.5.2011, de relatoria do Ministro Castro Meira, entendeu pela aplicação da Lei nº 11.960/09 aos processos em tramitação.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O acórdão está assim ementado: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PROCESSUAL CIVIL. EMBARGOS DE DIVERGÊNCIA. JUROS MORATÓRIOS. DIREITO INTERTEMPORAL. PRINCÍPIO DO TEMPUS REGIT ACTUM. ARTIGO 1º-F, DA LEI Nº 9.494/97. MP 2.180-35/2001. LEI nº 11.960/09. APLICAÇÃO AOS PROCESSOS EM CURSO.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1. A maioria da Corte conheceu dos embargos, ao fundamento de que divergência situa-se na aplicação da lei nova que modifica a taxa de juros de mora, aos processos em curso. Vencido o Relator.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 xml:space="preserve">2. As normas que dispõem sobre os juros moratórios possuem natureza eminentemente processual, aplicando-se aos processos em andamento, à luz do princípio </w:t>
      </w:r>
      <w:proofErr w:type="spellStart"/>
      <w:r>
        <w:rPr>
          <w:rFonts w:eastAsia="MS Mincho" w:cs="Arial"/>
          <w:bCs/>
          <w:i/>
          <w:szCs w:val="22"/>
        </w:rPr>
        <w:t>tempus</w:t>
      </w:r>
      <w:proofErr w:type="spellEnd"/>
      <w:r>
        <w:rPr>
          <w:rFonts w:eastAsia="MS Mincho" w:cs="Arial"/>
          <w:bCs/>
          <w:i/>
          <w:szCs w:val="22"/>
        </w:rPr>
        <w:t xml:space="preserve"> </w:t>
      </w:r>
      <w:proofErr w:type="spellStart"/>
      <w:r>
        <w:rPr>
          <w:rFonts w:eastAsia="MS Mincho" w:cs="Arial"/>
          <w:bCs/>
          <w:i/>
          <w:szCs w:val="22"/>
        </w:rPr>
        <w:t>regit</w:t>
      </w:r>
      <w:proofErr w:type="spellEnd"/>
      <w:r>
        <w:rPr>
          <w:rFonts w:eastAsia="MS Mincho" w:cs="Arial"/>
          <w:bCs/>
          <w:i/>
          <w:szCs w:val="22"/>
        </w:rPr>
        <w:t xml:space="preserve"> </w:t>
      </w:r>
      <w:proofErr w:type="spellStart"/>
      <w:r>
        <w:rPr>
          <w:rFonts w:eastAsia="MS Mincho" w:cs="Arial"/>
          <w:bCs/>
          <w:i/>
          <w:szCs w:val="22"/>
        </w:rPr>
        <w:t>actum</w:t>
      </w:r>
      <w:proofErr w:type="spellEnd"/>
      <w:r>
        <w:rPr>
          <w:rFonts w:eastAsia="MS Mincho" w:cs="Arial"/>
          <w:bCs/>
          <w:i/>
          <w:szCs w:val="22"/>
        </w:rPr>
        <w:t>. Precedentes.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3. O art. 1º-F, da Lei 9.494/97, modificada pela Medida Provisória 2.180-35/2001 e, posteriormente pelo artigo 5º da Lei nº 11.960/09, tem natureza instrumental, devendo ser aplicado aos processos em tramitação. Precedentes.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4. Embargos de divergência providos.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Do voto condutor do referido julgado, destaca-se, por oportuno, o seguinte excerto: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(...)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É imperioso, portanto, manter a compreensão propugnada por este Colegiado, ora consubstanciada no acórdão paradigma de modo a concluir que a lei nova que versa sobre juros moratórios dever incidir nos processos em tramitação, como bem destacado em sua ementa: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EXECUÇÃO DE SENTENÇA. TAXA DE JUROS. NOVO CÓDIGO CIVIL. VIOLAÇÃO À COISA JULGADA. INEXISTÊNCIA. ART. 406 DO NOVO CÓDIGO CIVIL. TAXA SELIC.</w:t>
      </w:r>
    </w:p>
    <w:p w:rsidR="00357DA5" w:rsidRDefault="00357DA5" w:rsidP="00357DA5">
      <w:pPr>
        <w:pStyle w:val="Pargrafo"/>
        <w:rPr>
          <w:rFonts w:eastAsia="MS Mincho" w:cs="Arial"/>
          <w:b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 xml:space="preserve">1. Não há violação à coisa julgada e à norma do art. 406 do novo Código Civil, quando o título judicial exequendo, exarado em momento anterior ao CC/2002, fixa os juros de mora em 0,5% ao mês </w:t>
      </w:r>
      <w:r>
        <w:rPr>
          <w:rFonts w:eastAsia="MS Mincho" w:cs="Arial"/>
          <w:b/>
          <w:bCs/>
          <w:i/>
          <w:szCs w:val="22"/>
        </w:rPr>
        <w:t>e, na execução do julgado, determina-se a incidência de juros</w:t>
      </w:r>
      <w:r>
        <w:rPr>
          <w:rFonts w:eastAsia="MS Mincho" w:cs="Arial"/>
          <w:bCs/>
          <w:i/>
          <w:szCs w:val="22"/>
        </w:rPr>
        <w:t xml:space="preserve"> </w:t>
      </w:r>
      <w:r>
        <w:rPr>
          <w:rFonts w:eastAsia="MS Mincho" w:cs="Arial"/>
          <w:b/>
          <w:bCs/>
          <w:i/>
          <w:szCs w:val="22"/>
        </w:rPr>
        <w:t>previstos nos termos da lei nova.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t>2. Atualmente, a taxa dos juros moratórios a que se refere o referido dispositivo [art. 406 do CC/2002 ] é a taxa referencial do Sistema Especial de Liquidação e Custódia - SELIC, por ser ela a que incide como juros moratórios dos tributos federais (</w:t>
      </w:r>
      <w:proofErr w:type="spellStart"/>
      <w:r>
        <w:rPr>
          <w:rFonts w:eastAsia="MS Mincho" w:cs="Arial"/>
          <w:bCs/>
          <w:i/>
          <w:szCs w:val="22"/>
        </w:rPr>
        <w:t>arts</w:t>
      </w:r>
      <w:proofErr w:type="spellEnd"/>
      <w:r>
        <w:rPr>
          <w:rFonts w:eastAsia="MS Mincho" w:cs="Arial"/>
          <w:bCs/>
          <w:i/>
          <w:szCs w:val="22"/>
        </w:rPr>
        <w:t>. 13 da Lei 9.065/95, 84 da Lei 8.981/95, 39, § 4º, da Lei 9.250/95, 61, § 3º, da Lei 9.430/96 e 30 da Lei 10.522/02)' (</w:t>
      </w:r>
      <w:proofErr w:type="spellStart"/>
      <w:r>
        <w:rPr>
          <w:rFonts w:eastAsia="MS Mincho" w:cs="Arial"/>
          <w:bCs/>
          <w:i/>
          <w:szCs w:val="22"/>
        </w:rPr>
        <w:t>EREsp</w:t>
      </w:r>
      <w:proofErr w:type="spellEnd"/>
      <w:r>
        <w:rPr>
          <w:rFonts w:eastAsia="MS Mincho" w:cs="Arial"/>
          <w:bCs/>
          <w:i/>
          <w:szCs w:val="22"/>
        </w:rPr>
        <w:t xml:space="preserve"> 727.842, DJ de 20/11/08)" (</w:t>
      </w:r>
      <w:proofErr w:type="spellStart"/>
      <w:r>
        <w:rPr>
          <w:rFonts w:eastAsia="MS Mincho" w:cs="Arial"/>
          <w:bCs/>
          <w:i/>
          <w:szCs w:val="22"/>
        </w:rPr>
        <w:t>REsp</w:t>
      </w:r>
      <w:proofErr w:type="spellEnd"/>
      <w:r>
        <w:rPr>
          <w:rFonts w:eastAsia="MS Mincho" w:cs="Arial"/>
          <w:bCs/>
          <w:i/>
          <w:szCs w:val="22"/>
        </w:rPr>
        <w:t xml:space="preserve"> 1.102.552/CE, Rel. Min. </w:t>
      </w:r>
      <w:proofErr w:type="spellStart"/>
      <w:r>
        <w:rPr>
          <w:rFonts w:eastAsia="MS Mincho" w:cs="Arial"/>
          <w:bCs/>
          <w:i/>
          <w:szCs w:val="22"/>
        </w:rPr>
        <w:t>Teori</w:t>
      </w:r>
      <w:proofErr w:type="spellEnd"/>
      <w:r>
        <w:rPr>
          <w:rFonts w:eastAsia="MS Mincho" w:cs="Arial"/>
          <w:bCs/>
          <w:i/>
          <w:szCs w:val="22"/>
        </w:rPr>
        <w:t xml:space="preserve"> Albino Zavascki, sujeito ao regime do art. 543-C do CPC, pendente de publicação). Todavia, não houve recurso da parte interessada para prevalecer tal entendimento.</w:t>
      </w:r>
    </w:p>
    <w:p w:rsidR="00357DA5" w:rsidRDefault="00357DA5" w:rsidP="00357DA5">
      <w:pPr>
        <w:pStyle w:val="Pargrafo"/>
        <w:rPr>
          <w:rFonts w:eastAsia="MS Mincho" w:cs="Arial"/>
          <w:bCs/>
          <w:i/>
          <w:szCs w:val="22"/>
        </w:rPr>
      </w:pPr>
      <w:r>
        <w:rPr>
          <w:rFonts w:eastAsia="MS Mincho" w:cs="Arial"/>
          <w:bCs/>
          <w:i/>
          <w:szCs w:val="22"/>
        </w:rPr>
        <w:lastRenderedPageBreak/>
        <w:t>3. Recurso Especial não provido (</w:t>
      </w:r>
      <w:proofErr w:type="spellStart"/>
      <w:r>
        <w:rPr>
          <w:rFonts w:eastAsia="MS Mincho" w:cs="Arial"/>
          <w:bCs/>
          <w:i/>
          <w:szCs w:val="22"/>
        </w:rPr>
        <w:t>REsp</w:t>
      </w:r>
      <w:proofErr w:type="spellEnd"/>
      <w:r>
        <w:rPr>
          <w:rFonts w:eastAsia="MS Mincho" w:cs="Arial"/>
          <w:bCs/>
          <w:i/>
          <w:szCs w:val="22"/>
        </w:rPr>
        <w:t xml:space="preserve"> 1.111.117/PR, Rel. Min. Luis Felipe Salomão, Relator para acórdão o Exmo. Senhor Min. Mauro Campbell Marques, Corte Especial, </w:t>
      </w:r>
      <w:proofErr w:type="spellStart"/>
      <w:r>
        <w:rPr>
          <w:rFonts w:eastAsia="MS Mincho" w:cs="Arial"/>
          <w:bCs/>
          <w:i/>
          <w:szCs w:val="22"/>
        </w:rPr>
        <w:t>DJe</w:t>
      </w:r>
      <w:proofErr w:type="spellEnd"/>
      <w:r>
        <w:rPr>
          <w:rFonts w:eastAsia="MS Mincho" w:cs="Arial"/>
          <w:bCs/>
          <w:i/>
          <w:szCs w:val="22"/>
        </w:rPr>
        <w:t xml:space="preserve"> de 02.09.10 - sem destaques no original).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Por sua vez, o Manual de Cálculos da Justiça Federal, aprovado pela Resolução/CJF nº 134, de 21.12.2010, na mesma linha da jurisprudência acima referida, estabeleceu critérios de pagamento de juros moratórios e de correção monetária, que fazem incidir nos processos em curso a legislação nova. 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O mesmo raciocínio pode-se deduzir da jurisprudência mais recente do STJ, que, no julgamento dos embargos de divergência no RESP nº 1.207.197/RS (</w:t>
      </w:r>
      <w:r>
        <w:rPr>
          <w:rFonts w:eastAsia="MS Mincho" w:cs="Arial"/>
          <w:b/>
          <w:bCs/>
          <w:szCs w:val="22"/>
        </w:rPr>
        <w:t>CORTE ESPECIAL</w:t>
      </w:r>
      <w:r>
        <w:rPr>
          <w:rFonts w:eastAsia="MS Mincho" w:cs="Arial"/>
          <w:bCs/>
          <w:szCs w:val="22"/>
        </w:rPr>
        <w:t>), julgado em 18.5.2011, de relatoria do Ministro Castro Meira, entendeu pela aplicação da Lei nº 11.960/09 aos processos em tramitação.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Por sua vez, o Manual de Cálculos da Justiça Federal, aprovado pela Resolução/CJF nº 134, de 21.12.2010, na mesma linha da jurisprudência acima referida, estabeleceu critérios de pagamento de juros moratórios e de correção monetária, que fazem incidir nos processos em curso a legislação nova. 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Ocorre que o Manual de Orientação de Procedimentos para os Cálculos da Justiça Federal foi recentemente alterado pela Resolução/CJF nº 267, de 02.12.2013, em virtude da declaração parcial de inconstitucionalidade do art. 1º-F da Lei n. 9.494/97, com redação dada pela Lei n. 11.960/2009, pelo Supremo Tribunal Federal nas </w:t>
      </w:r>
      <w:proofErr w:type="spellStart"/>
      <w:r>
        <w:rPr>
          <w:rFonts w:eastAsia="MS Mincho" w:cs="Arial"/>
          <w:bCs/>
          <w:szCs w:val="22"/>
        </w:rPr>
        <w:t>ADIs</w:t>
      </w:r>
      <w:proofErr w:type="spellEnd"/>
      <w:r>
        <w:rPr>
          <w:rFonts w:eastAsia="MS Mincho" w:cs="Arial"/>
          <w:bCs/>
          <w:szCs w:val="22"/>
        </w:rPr>
        <w:t xml:space="preserve"> 4.357 e 4.425, que discutiu os critérios de atualização de precatórios judiciais.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Não se ignora, todavia, que a declaração de inconstitucionalidade acima mencionada não alcançou a atualização dos débitos da Fazenda Pública </w:t>
      </w:r>
      <w:r>
        <w:rPr>
          <w:rFonts w:eastAsia="MS Mincho" w:cs="Arial"/>
          <w:bCs/>
          <w:szCs w:val="22"/>
          <w:u w:val="single"/>
        </w:rPr>
        <w:t>antes da respectiva inscrição em precatório</w:t>
      </w:r>
      <w:r>
        <w:rPr>
          <w:rFonts w:eastAsia="MS Mincho" w:cs="Arial"/>
          <w:bCs/>
          <w:szCs w:val="22"/>
        </w:rPr>
        <w:t xml:space="preserve">, questão não apreciada nas </w:t>
      </w:r>
      <w:proofErr w:type="spellStart"/>
      <w:r>
        <w:rPr>
          <w:rFonts w:eastAsia="MS Mincho" w:cs="Arial"/>
          <w:bCs/>
          <w:szCs w:val="22"/>
        </w:rPr>
        <w:t>ADIs</w:t>
      </w:r>
      <w:proofErr w:type="spellEnd"/>
      <w:r>
        <w:rPr>
          <w:rFonts w:eastAsia="MS Mincho" w:cs="Arial"/>
          <w:bCs/>
          <w:szCs w:val="22"/>
        </w:rPr>
        <w:t xml:space="preserve"> 4.357 e 4.425 e que se encontra com repercussão geral reconhecida pelo STF (RE 870.947/SE). Tal aspecto foi destacado pelo Ministro Luiz </w:t>
      </w:r>
      <w:proofErr w:type="spellStart"/>
      <w:r>
        <w:rPr>
          <w:rFonts w:eastAsia="MS Mincho" w:cs="Arial"/>
          <w:bCs/>
          <w:szCs w:val="22"/>
        </w:rPr>
        <w:t>Fux</w:t>
      </w:r>
      <w:proofErr w:type="spellEnd"/>
      <w:r>
        <w:rPr>
          <w:rFonts w:eastAsia="MS Mincho" w:cs="Arial"/>
          <w:bCs/>
          <w:szCs w:val="22"/>
        </w:rPr>
        <w:t>, ao reconhecer a repercussão geral do tema objeto do RE 870.947, tendo Sua Excelência esclarecido que: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“o Supremo Tribunal Federal, ao julgar as </w:t>
      </w:r>
      <w:proofErr w:type="spellStart"/>
      <w:r>
        <w:rPr>
          <w:rFonts w:eastAsia="MS Mincho" w:cs="Arial"/>
          <w:bCs/>
          <w:szCs w:val="22"/>
        </w:rPr>
        <w:t>ADIs</w:t>
      </w:r>
      <w:proofErr w:type="spellEnd"/>
      <w:r>
        <w:rPr>
          <w:rFonts w:eastAsia="MS Mincho" w:cs="Arial"/>
          <w:bCs/>
          <w:szCs w:val="22"/>
        </w:rPr>
        <w:t xml:space="preserve"> 4.357 e 4.425, </w:t>
      </w:r>
      <w:r>
        <w:rPr>
          <w:rFonts w:eastAsia="MS Mincho" w:cs="Arial"/>
          <w:bCs/>
          <w:szCs w:val="22"/>
          <w:u w:val="single"/>
        </w:rPr>
        <w:t>declarou a inconstitucionalidade da correção monetária pela TR apenas quanto ao segundo período, isto é, quanto ao intervalo de tempo compreendido entre a inscrição do crédito em precatório e o efetivo pagamento</w:t>
      </w:r>
      <w:r>
        <w:rPr>
          <w:rFonts w:eastAsia="MS Mincho" w:cs="Arial"/>
          <w:bCs/>
          <w:szCs w:val="22"/>
        </w:rPr>
        <w:t xml:space="preserve">. Isso porque a norma constitucional impugnada nas </w:t>
      </w:r>
      <w:proofErr w:type="spellStart"/>
      <w:r>
        <w:rPr>
          <w:rFonts w:eastAsia="MS Mincho" w:cs="Arial"/>
          <w:bCs/>
          <w:szCs w:val="22"/>
        </w:rPr>
        <w:t>ADIs</w:t>
      </w:r>
      <w:proofErr w:type="spellEnd"/>
      <w:r>
        <w:rPr>
          <w:rFonts w:eastAsia="MS Mincho" w:cs="Arial"/>
          <w:bCs/>
          <w:szCs w:val="22"/>
        </w:rPr>
        <w:t xml:space="preserve"> (art. 100, § 12, da CRFB, incluído pela EC n. 62/09) referia-se apenas à atualização da condenação ao concluir-se a fase de conhecimento.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(...)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  <w:u w:val="single"/>
        </w:rPr>
        <w:t>Na parte que rege a atualização monetária das condenações impostas à Fazenda Pública até a expedição do requisitório (i.e., entre o dano efetivo/ajuizamento da demanda e a condenação), o art. 1º-F da Lei n. 9.494/97 ainda não foi objeto de pronunciamento expresso do Supremo Tribunal Federal quanto à sua constitucionalidade e, portanto, continua em pleno vigor</w:t>
      </w:r>
      <w:r>
        <w:rPr>
          <w:rFonts w:eastAsia="MS Mincho" w:cs="Arial"/>
          <w:bCs/>
          <w:szCs w:val="22"/>
        </w:rPr>
        <w:t>.”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A atualização monetária das condenações impostas à Fazenda Pública antes da expedição do precatório será decidida, assim, no julgamento pelo STF do RE 870.947, com repercussão geral reconhecida, de modo que a deliberação daquela Corte haverá de repercutir nos procedimentos de cálculo adotados pela Justiça Federal, seja para sua manutenção ou mudança.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Afinal, conforme esclarecido, a legislação e, evidentemente, sua interpretação pela Corte Suprema, sobre juros e correção monetária alcança os processos em curso, diante da incidência imediata de lei processual sob a tutela do princípio </w:t>
      </w:r>
      <w:proofErr w:type="spellStart"/>
      <w:r>
        <w:rPr>
          <w:rFonts w:eastAsia="MS Mincho" w:cs="Arial"/>
          <w:bCs/>
          <w:i/>
          <w:szCs w:val="22"/>
        </w:rPr>
        <w:t>tempus</w:t>
      </w:r>
      <w:proofErr w:type="spellEnd"/>
      <w:r>
        <w:rPr>
          <w:rFonts w:eastAsia="MS Mincho" w:cs="Arial"/>
          <w:bCs/>
          <w:i/>
          <w:szCs w:val="22"/>
        </w:rPr>
        <w:t xml:space="preserve"> </w:t>
      </w:r>
      <w:proofErr w:type="spellStart"/>
      <w:r>
        <w:rPr>
          <w:rFonts w:eastAsia="MS Mincho" w:cs="Arial"/>
          <w:bCs/>
          <w:i/>
          <w:szCs w:val="22"/>
        </w:rPr>
        <w:t>regit</w:t>
      </w:r>
      <w:proofErr w:type="spellEnd"/>
      <w:r>
        <w:rPr>
          <w:rFonts w:eastAsia="MS Mincho" w:cs="Arial"/>
          <w:bCs/>
          <w:i/>
          <w:szCs w:val="22"/>
        </w:rPr>
        <w:t xml:space="preserve"> </w:t>
      </w:r>
      <w:proofErr w:type="spellStart"/>
      <w:r>
        <w:rPr>
          <w:rFonts w:eastAsia="MS Mincho" w:cs="Arial"/>
          <w:bCs/>
          <w:i/>
          <w:szCs w:val="22"/>
        </w:rPr>
        <w:t>actum</w:t>
      </w:r>
      <w:proofErr w:type="spellEnd"/>
      <w:r>
        <w:rPr>
          <w:rFonts w:eastAsia="MS Mincho" w:cs="Arial"/>
          <w:bCs/>
          <w:szCs w:val="22"/>
        </w:rPr>
        <w:t>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Assim, em resumo, os critérios de pagamento de juros moratórios e de correção monetária devem observar o Manual de Cálculos da Justiça Federal, na sua versão em vigor ao tempo da execução.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lastRenderedPageBreak/>
        <w:t>Afinal, parte-se do pressuposto de que o referido Manual irá espelhar a legislação em vigor e, sem dúvida, até pela força normativa a elas inerente, as decisões do STF em controle concentrado ou difuso de constitucionalidade.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 xml:space="preserve">No entanto, se, porventura, ao tempo da execução do julgado, remanescer pendente de definição a questão da aplicabilidade da Lei n. 11.960/09 na parte que rege a atualização monetária das condenações impostas à Fazenda Pública até a expedição do requisitório, e uma vez que o STF deixou bem claro que a declaração de inconstitucionalidade do art. 1º-F da Lei n. 9.494/97, com a redação dada pela Lei n. 11.960/09, alcançou </w:t>
      </w:r>
      <w:proofErr w:type="spellStart"/>
      <w:r>
        <w:rPr>
          <w:rFonts w:eastAsia="MS Mincho" w:cs="Arial"/>
          <w:bCs/>
          <w:szCs w:val="22"/>
        </w:rPr>
        <w:t>tão-somente</w:t>
      </w:r>
      <w:proofErr w:type="spellEnd"/>
      <w:r>
        <w:rPr>
          <w:rFonts w:eastAsia="MS Mincho" w:cs="Arial"/>
          <w:bCs/>
          <w:szCs w:val="22"/>
        </w:rPr>
        <w:t xml:space="preserve"> a atualização de valores de precatórios, não atingindo parcelas anteriores à data da expedição do requisitório, deverão ser aplicadas no cálculo das diferenças devidas à parte autora as disposições da Lei n. 11.960/09, tanto em relação aos juros de mora quanto no tocante à correção monetária, uma vez que continua em vigor. </w:t>
      </w:r>
    </w:p>
    <w:p w:rsidR="00357DA5" w:rsidRDefault="00357DA5" w:rsidP="00357DA5">
      <w:pPr>
        <w:pStyle w:val="Pargrafo"/>
        <w:rPr>
          <w:rFonts w:cs="Arial"/>
          <w:szCs w:val="22"/>
        </w:rPr>
      </w:pPr>
      <w:r>
        <w:rPr>
          <w:rFonts w:eastAsia="MS Mincho" w:cs="Arial"/>
          <w:bCs/>
          <w:szCs w:val="22"/>
        </w:rPr>
        <w:t xml:space="preserve">Em face do exposto, </w:t>
      </w:r>
      <w:r>
        <w:rPr>
          <w:rFonts w:eastAsia="MS Mincho" w:cs="Arial"/>
          <w:bCs/>
          <w:szCs w:val="22"/>
          <w:u w:val="single"/>
        </w:rPr>
        <w:t>nego provimento às apelações</w:t>
      </w:r>
      <w:r>
        <w:rPr>
          <w:rFonts w:cs="Arial"/>
          <w:szCs w:val="22"/>
          <w:u w:val="single"/>
        </w:rPr>
        <w:t xml:space="preserve"> e dou provimento parcial à remessa oficial, </w:t>
      </w:r>
      <w:r>
        <w:rPr>
          <w:rFonts w:cs="Arial"/>
          <w:szCs w:val="22"/>
        </w:rPr>
        <w:t>para que o cálculo dos juros e da atualização monetária observe as disposições supra.</w:t>
      </w:r>
    </w:p>
    <w:p w:rsidR="00357DA5" w:rsidRDefault="00357DA5" w:rsidP="00357DA5">
      <w:pPr>
        <w:pStyle w:val="Pargraf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Defiro a gratuidade judiciária requerida pela apelante Celeste Maria Santana dos Santos às fls. 559/566.</w:t>
      </w:r>
    </w:p>
    <w:p w:rsidR="00357DA5" w:rsidRDefault="00357DA5" w:rsidP="00357DA5">
      <w:pPr>
        <w:pStyle w:val="Pargrafo"/>
        <w:spacing w:before="0" w:after="0" w:line="360" w:lineRule="auto"/>
        <w:ind w:right="-1"/>
        <w:rPr>
          <w:rFonts w:cs="Arial"/>
          <w:szCs w:val="22"/>
        </w:rPr>
      </w:pPr>
      <w:r>
        <w:rPr>
          <w:rFonts w:cs="Arial"/>
          <w:szCs w:val="22"/>
        </w:rPr>
        <w:t>É o voto.</w:t>
      </w:r>
    </w:p>
    <w:p w:rsidR="0015179D" w:rsidRPr="00553129" w:rsidRDefault="0015179D" w:rsidP="00553129">
      <w:pPr>
        <w:pStyle w:val="Identificao"/>
      </w:pPr>
    </w:p>
    <w:sectPr w:rsidR="0015179D" w:rsidRPr="00553129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801" w:rsidRDefault="00311801">
      <w:r>
        <w:separator/>
      </w:r>
    </w:p>
  </w:endnote>
  <w:endnote w:type="continuationSeparator" w:id="0">
    <w:p w:rsidR="00311801" w:rsidRDefault="00311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01" w:rsidRDefault="00311801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20C8E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020C8E">
      <w:rPr>
        <w:rFonts w:ascii="Arial" w:hAnsi="Arial"/>
        <w:sz w:val="10"/>
      </w:rPr>
      <w:fldChar w:fldCharType="separate"/>
    </w:r>
    <w:r w:rsidR="00492E30">
      <w:rPr>
        <w:rFonts w:ascii="Arial" w:hAnsi="Arial"/>
        <w:noProof/>
        <w:sz w:val="10"/>
      </w:rPr>
      <w:t>K:\CRP1-BA\GAB43\Corrigidos\15ª SESSÃO - 30.11\31. 2006.33.00.005517-6. Pensão por morte.Separação judicial sem pensão alimenticia.Comprovação da dependência econômica.INSS e Petros. GABI - RV.docx</w:t>
    </w:r>
    <w:r w:rsidR="00020C8E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01" w:rsidRDefault="00311801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20C8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020C8E">
      <w:rPr>
        <w:rFonts w:ascii="Arial" w:hAnsi="Arial"/>
        <w:sz w:val="13"/>
      </w:rPr>
      <w:fldChar w:fldCharType="separate"/>
    </w:r>
    <w:r w:rsidR="00492E30">
      <w:rPr>
        <w:rFonts w:ascii="Arial" w:hAnsi="Arial"/>
        <w:noProof/>
        <w:sz w:val="13"/>
      </w:rPr>
      <w:t>K:\CRP1-BA\GAB43\Corrigidos\15ª SESSÃO - 30.11\31. 2006.33.00.005517-6. Pensão por morte.Separação judicial sem pensão alimenticia.Comprovação da dependência econômica.INSS e Petros. GABI - RV.docx</w:t>
    </w:r>
    <w:r w:rsidR="00020C8E">
      <w:rPr>
        <w:rFonts w:ascii="Arial" w:hAnsi="Arial"/>
        <w:sz w:val="13"/>
      </w:rPr>
      <w:fldChar w:fldCharType="end"/>
    </w:r>
  </w:p>
  <w:p w:rsidR="00311801" w:rsidRDefault="00311801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020C8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020C8E">
      <w:rPr>
        <w:rFonts w:ascii="Arial" w:hAnsi="Arial"/>
        <w:sz w:val="13"/>
      </w:rPr>
      <w:fldChar w:fldCharType="separate"/>
    </w:r>
    <w:r w:rsidR="00492E30">
      <w:rPr>
        <w:rFonts w:ascii="Arial" w:hAnsi="Arial"/>
        <w:noProof/>
        <w:sz w:val="13"/>
      </w:rPr>
      <w:t>TR300321</w:t>
    </w:r>
    <w:r w:rsidR="00020C8E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801" w:rsidRDefault="00311801">
      <w:r>
        <w:separator/>
      </w:r>
    </w:p>
  </w:footnote>
  <w:footnote w:type="continuationSeparator" w:id="0">
    <w:p w:rsidR="00311801" w:rsidRDefault="003118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01" w:rsidRDefault="00311801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311801" w:rsidRDefault="00311801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020C8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020C8E">
      <w:rPr>
        <w:rFonts w:ascii="Arial" w:hAnsi="Arial" w:cs="Arial"/>
        <w:bCs/>
        <w:sz w:val="16"/>
      </w:rPr>
      <w:fldChar w:fldCharType="separate"/>
    </w:r>
    <w:r w:rsidR="00492E30">
      <w:rPr>
        <w:rFonts w:ascii="Arial" w:hAnsi="Arial" w:cs="Arial"/>
        <w:bCs/>
        <w:noProof/>
        <w:sz w:val="16"/>
      </w:rPr>
      <w:t>5</w:t>
    </w:r>
    <w:r w:rsidR="00020C8E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020C8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020C8E">
      <w:rPr>
        <w:rFonts w:ascii="Arial" w:hAnsi="Arial" w:cs="Arial"/>
        <w:bCs/>
        <w:sz w:val="16"/>
      </w:rPr>
      <w:fldChar w:fldCharType="separate"/>
    </w:r>
    <w:r w:rsidR="00492E30">
      <w:rPr>
        <w:rFonts w:ascii="Arial" w:hAnsi="Arial" w:cs="Arial"/>
        <w:bCs/>
        <w:noProof/>
        <w:sz w:val="16"/>
      </w:rPr>
      <w:t>5</w:t>
    </w:r>
    <w:r w:rsidR="00020C8E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01" w:rsidRPr="00553129" w:rsidRDefault="00311801" w:rsidP="00553129">
    <w:pPr>
      <w:jc w:val="right"/>
      <w:rPr>
        <w:rFonts w:ascii="Interleaved 2of5" w:hAnsi="Interleaved 2of5"/>
        <w:sz w:val="48"/>
      </w:rPr>
    </w:pPr>
    <w:r w:rsidRPr="00553129">
      <w:rPr>
        <w:rFonts w:ascii="Interleaved 2of5" w:hAnsi="Interleaved 2of5"/>
        <w:sz w:val="48"/>
      </w:rPr>
      <w:t>(20ÍN05ÁÚ)</w:t>
    </w:r>
  </w:p>
  <w:p w:rsidR="00311801" w:rsidRDefault="00311801" w:rsidP="00553129">
    <w:pPr>
      <w:spacing w:before="120"/>
      <w:rPr>
        <w:rFonts w:ascii="Arial" w:hAnsi="Arial"/>
        <w:sz w:val="16"/>
      </w:rPr>
    </w:pPr>
  </w:p>
  <w:p w:rsidR="00311801" w:rsidRDefault="00311801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11801" w:rsidRDefault="00311801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311801" w:rsidRDefault="00311801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DA5"/>
    <w:rsid w:val="00020C8E"/>
    <w:rsid w:val="0015179D"/>
    <w:rsid w:val="00191A8C"/>
    <w:rsid w:val="002331F7"/>
    <w:rsid w:val="002C2498"/>
    <w:rsid w:val="00311801"/>
    <w:rsid w:val="00357DA5"/>
    <w:rsid w:val="00413610"/>
    <w:rsid w:val="004269A8"/>
    <w:rsid w:val="004554A7"/>
    <w:rsid w:val="00462716"/>
    <w:rsid w:val="00471CDF"/>
    <w:rsid w:val="00492E30"/>
    <w:rsid w:val="004C17AC"/>
    <w:rsid w:val="00553129"/>
    <w:rsid w:val="005E20DB"/>
    <w:rsid w:val="006779DE"/>
    <w:rsid w:val="006A4ECE"/>
    <w:rsid w:val="007A7066"/>
    <w:rsid w:val="007C3424"/>
    <w:rsid w:val="008713AE"/>
    <w:rsid w:val="00872397"/>
    <w:rsid w:val="008A3D69"/>
    <w:rsid w:val="008B3558"/>
    <w:rsid w:val="008C4395"/>
    <w:rsid w:val="0099169E"/>
    <w:rsid w:val="00C5492A"/>
    <w:rsid w:val="00C83717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7DA5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2C2498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2C2498"/>
    <w:pPr>
      <w:suppressAutoHyphens w:val="0"/>
      <w:spacing w:before="120" w:after="120"/>
      <w:ind w:firstLine="1418"/>
      <w:jc w:val="both"/>
    </w:pPr>
    <w:rPr>
      <w:rFonts w:ascii="Arial" w:hAnsi="Arial"/>
      <w:sz w:val="22"/>
      <w:lang w:eastAsia="pt-BR"/>
    </w:rPr>
  </w:style>
  <w:style w:type="paragraph" w:customStyle="1" w:styleId="centralizar">
    <w:name w:val="centralizar"/>
    <w:basedOn w:val="Pargrafo"/>
    <w:next w:val="Pargrafo"/>
    <w:rsid w:val="002C2498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2C2498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uppressAutoHyphens w:val="0"/>
    </w:pPr>
    <w:rPr>
      <w:lang w:eastAsia="pt-BR"/>
    </w:rPr>
  </w:style>
  <w:style w:type="paragraph" w:customStyle="1" w:styleId="transcrio2">
    <w:name w:val="transcrição 2"/>
    <w:basedOn w:val="Transcrio"/>
    <w:rsid w:val="002C2498"/>
    <w:pPr>
      <w:ind w:left="2835"/>
    </w:pPr>
  </w:style>
  <w:style w:type="paragraph" w:customStyle="1" w:styleId="transcrio3">
    <w:name w:val="transcrição 3"/>
    <w:basedOn w:val="Identificao"/>
    <w:rsid w:val="002C2498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2C2498"/>
    <w:pPr>
      <w:ind w:left="4536"/>
    </w:pPr>
  </w:style>
  <w:style w:type="paragraph" w:customStyle="1" w:styleId="assinatura">
    <w:name w:val="assinatura"/>
    <w:basedOn w:val="Pargrafo"/>
    <w:rsid w:val="002C2498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2C2498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uppressAutoHyphens w:val="0"/>
    </w:pPr>
    <w:rPr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553129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53129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357DA5"/>
    <w:pPr>
      <w:suppressAutoHyphens w:val="0"/>
    </w:pPr>
    <w:rPr>
      <w:rFonts w:ascii="Tahom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357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0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37</TotalTime>
  <Pages>5</Pages>
  <Words>2202</Words>
  <Characters>12037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14211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4</cp:revision>
  <cp:lastPrinted>2015-12-14T21:23:00Z</cp:lastPrinted>
  <dcterms:created xsi:type="dcterms:W3CDTF">2015-11-26T18:58:00Z</dcterms:created>
  <dcterms:modified xsi:type="dcterms:W3CDTF">2015-12-14T21:23:00Z</dcterms:modified>
</cp:coreProperties>
</file>