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AD4" w:rsidRDefault="00CE7AD4" w:rsidP="00846999">
      <w:pPr>
        <w:pStyle w:val="TextosemFormatao"/>
        <w:rPr>
          <w:rFonts w:ascii="Courier New" w:hAnsi="Courier New" w:cs="Courier New"/>
        </w:rPr>
      </w:pPr>
    </w:p>
    <w:p w:rsidR="00CE7AD4" w:rsidRPr="00CE7AD4" w:rsidRDefault="00CE7AD4" w:rsidP="00CE7AD4">
      <w:pPr>
        <w:pStyle w:val="Identificao"/>
        <w:rPr>
          <w:b/>
          <w:u w:val="single"/>
        </w:rPr>
      </w:pPr>
      <w:r w:rsidRPr="00CE7AD4">
        <w:rPr>
          <w:b/>
          <w:u w:val="single"/>
        </w:rPr>
        <w:t>APELAÇÃO CÍVEL</w:t>
      </w:r>
      <w:proofErr w:type="gramStart"/>
      <w:r w:rsidRPr="00CE7AD4">
        <w:rPr>
          <w:b/>
          <w:u w:val="single"/>
        </w:rPr>
        <w:t xml:space="preserve">  </w:t>
      </w:r>
      <w:proofErr w:type="gramEnd"/>
      <w:r w:rsidRPr="00CE7AD4">
        <w:rPr>
          <w:b/>
          <w:u w:val="single"/>
        </w:rPr>
        <w:t>1999.36.00.001054-1/MT</w:t>
      </w:r>
    </w:p>
    <w:p w:rsidR="00CE7AD4" w:rsidRPr="00846999" w:rsidRDefault="00CE7AD4" w:rsidP="00CE7AD4">
      <w:pPr>
        <w:pStyle w:val="Identificao"/>
      </w:pPr>
      <w:r w:rsidRPr="00846999">
        <w:t>Processo na Origem: 10543719994013600</w:t>
      </w:r>
    </w:p>
    <w:p w:rsidR="00CE7AD4" w:rsidRDefault="00CE7AD4" w:rsidP="00CE7AD4">
      <w:pPr>
        <w:pStyle w:val="Identificao"/>
      </w:pPr>
    </w:p>
    <w:tbl>
      <w:tblPr>
        <w:tblW w:w="9900" w:type="dxa"/>
        <w:tblLayout w:type="fixed"/>
        <w:tblCellMar>
          <w:left w:w="70" w:type="dxa"/>
          <w:right w:w="70" w:type="dxa"/>
        </w:tblCellMar>
        <w:tblLook w:val="0000"/>
      </w:tblPr>
      <w:tblGrid>
        <w:gridCol w:w="2000"/>
        <w:gridCol w:w="300"/>
        <w:gridCol w:w="7600"/>
      </w:tblGrid>
      <w:tr w:rsidR="00CE7AD4" w:rsidRPr="00CE7AD4" w:rsidTr="00CE7AD4">
        <w:tc>
          <w:tcPr>
            <w:tcW w:w="2000" w:type="dxa"/>
            <w:shd w:val="clear" w:color="auto" w:fill="auto"/>
          </w:tcPr>
          <w:p w:rsidR="00CE7AD4" w:rsidRPr="00CE7AD4" w:rsidRDefault="00CE7AD4" w:rsidP="00CE7AD4">
            <w:pPr>
              <w:pStyle w:val="Identificao"/>
            </w:pPr>
            <w:proofErr w:type="gramStart"/>
            <w:r w:rsidRPr="00CE7AD4">
              <w:t>RELATOR(</w:t>
            </w:r>
            <w:proofErr w:type="gramEnd"/>
            <w:r w:rsidRPr="00CE7AD4">
              <w:t>A)</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DESEMBARGADOR FEDERAL NÉVITON GUEDES</w:t>
            </w:r>
          </w:p>
        </w:tc>
      </w:tr>
      <w:tr w:rsidR="00CE7AD4" w:rsidRPr="00CE7AD4" w:rsidTr="00CE7AD4">
        <w:tc>
          <w:tcPr>
            <w:tcW w:w="2000" w:type="dxa"/>
            <w:shd w:val="clear" w:color="auto" w:fill="auto"/>
          </w:tcPr>
          <w:p w:rsidR="00CE7AD4" w:rsidRPr="00CE7AD4" w:rsidRDefault="00CE7AD4" w:rsidP="00CE7AD4">
            <w:pPr>
              <w:pStyle w:val="Identificao"/>
            </w:pPr>
            <w:r w:rsidRPr="00CE7AD4">
              <w:t>APELANTE</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DERCI DALLAGNOL BASSANI </w:t>
            </w:r>
          </w:p>
        </w:tc>
      </w:tr>
      <w:tr w:rsidR="00CE7AD4" w:rsidRPr="00CE7AD4" w:rsidTr="00CE7AD4">
        <w:tc>
          <w:tcPr>
            <w:tcW w:w="2000" w:type="dxa"/>
            <w:shd w:val="clear" w:color="auto" w:fill="auto"/>
          </w:tcPr>
          <w:p w:rsidR="00CE7AD4" w:rsidRPr="00CE7AD4" w:rsidRDefault="00CE7AD4" w:rsidP="00CE7AD4">
            <w:pPr>
              <w:pStyle w:val="Identificao"/>
            </w:pPr>
            <w:r w:rsidRPr="00CE7AD4">
              <w:t>ADVOGADO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MT00009786 - XAVIER LEONIDAS DALLAGNOL </w:t>
            </w:r>
          </w:p>
        </w:tc>
      </w:tr>
      <w:tr w:rsidR="00CE7AD4" w:rsidRPr="00CE7AD4" w:rsidTr="00CE7AD4">
        <w:tc>
          <w:tcPr>
            <w:tcW w:w="2000" w:type="dxa"/>
            <w:shd w:val="clear" w:color="auto" w:fill="auto"/>
          </w:tcPr>
          <w:p w:rsidR="00CE7AD4" w:rsidRPr="00CE7AD4" w:rsidRDefault="00CE7AD4" w:rsidP="00CE7AD4">
            <w:pPr>
              <w:pStyle w:val="Identificao"/>
            </w:pPr>
            <w:r w:rsidRPr="00CE7AD4">
              <w:t>APELADO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INSTITUTO NACIONAL DE COLONIZACAO E REFORMA AGRARIA - INCRA </w:t>
            </w:r>
          </w:p>
        </w:tc>
      </w:tr>
      <w:tr w:rsidR="00CE7AD4" w:rsidRPr="00CE7AD4" w:rsidTr="00CE7AD4">
        <w:tc>
          <w:tcPr>
            <w:tcW w:w="2000" w:type="dxa"/>
            <w:shd w:val="clear" w:color="auto" w:fill="auto"/>
          </w:tcPr>
          <w:p w:rsidR="00CE7AD4" w:rsidRPr="00CE7AD4" w:rsidRDefault="00CE7AD4" w:rsidP="00CE7AD4">
            <w:pPr>
              <w:pStyle w:val="Identificao"/>
            </w:pPr>
            <w:r w:rsidRPr="00CE7AD4">
              <w:t>PROCURADOR</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PROCURADORIA REGIONAL FEDERAL DA 1A REGIAO </w:t>
            </w:r>
          </w:p>
        </w:tc>
      </w:tr>
      <w:tr w:rsidR="00CE7AD4" w:rsidRPr="00CE7AD4" w:rsidTr="00CE7AD4">
        <w:tc>
          <w:tcPr>
            <w:tcW w:w="2000" w:type="dxa"/>
            <w:shd w:val="clear" w:color="auto" w:fill="auto"/>
          </w:tcPr>
          <w:p w:rsidR="00CE7AD4" w:rsidRPr="00CE7AD4" w:rsidRDefault="00CE7AD4" w:rsidP="00CE7AD4">
            <w:pPr>
              <w:pStyle w:val="Identificao"/>
            </w:pPr>
            <w:r w:rsidRPr="00CE7AD4">
              <w:t>ASSISTENTE LITISCONSORCIAL</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MARIA DAS GRACAS PRESTES </w:t>
            </w:r>
          </w:p>
        </w:tc>
      </w:tr>
      <w:tr w:rsidR="00CE7AD4" w:rsidRPr="00CE7AD4" w:rsidTr="00CE7AD4">
        <w:tc>
          <w:tcPr>
            <w:tcW w:w="2000" w:type="dxa"/>
            <w:shd w:val="clear" w:color="auto" w:fill="auto"/>
          </w:tcPr>
          <w:p w:rsidR="00CE7AD4" w:rsidRPr="00CE7AD4" w:rsidRDefault="00CE7AD4" w:rsidP="00CE7AD4">
            <w:pPr>
              <w:pStyle w:val="Identificao"/>
            </w:pPr>
            <w:r w:rsidRPr="00CE7AD4">
              <w:t>ADVOGADO</w:t>
            </w:r>
          </w:p>
        </w:tc>
        <w:tc>
          <w:tcPr>
            <w:tcW w:w="300" w:type="dxa"/>
            <w:shd w:val="clear" w:color="auto" w:fill="auto"/>
          </w:tcPr>
          <w:p w:rsidR="00CE7AD4" w:rsidRPr="00CE7AD4" w:rsidRDefault="00CE7AD4" w:rsidP="00CE7AD4">
            <w:pPr>
              <w:pStyle w:val="Identificao"/>
            </w:pPr>
            <w:r w:rsidRPr="00CE7AD4">
              <w:t>:</w:t>
            </w:r>
          </w:p>
        </w:tc>
        <w:tc>
          <w:tcPr>
            <w:tcW w:w="7600" w:type="dxa"/>
            <w:shd w:val="clear" w:color="auto" w:fill="auto"/>
          </w:tcPr>
          <w:p w:rsidR="00CE7AD4" w:rsidRPr="00CE7AD4" w:rsidRDefault="00CE7AD4" w:rsidP="00CE7AD4">
            <w:pPr>
              <w:pStyle w:val="Identificao"/>
            </w:pPr>
            <w:r w:rsidRPr="00CE7AD4">
              <w:t xml:space="preserve">MT0021488A - CELSO BORSATO BRAZ E </w:t>
            </w:r>
            <w:proofErr w:type="gramStart"/>
            <w:r w:rsidRPr="00CE7AD4">
              <w:t>OUTRO(</w:t>
            </w:r>
            <w:proofErr w:type="gramEnd"/>
            <w:r w:rsidRPr="00CE7AD4">
              <w:t>A)</w:t>
            </w:r>
          </w:p>
        </w:tc>
      </w:tr>
    </w:tbl>
    <w:p w:rsidR="00CE7AD4" w:rsidRDefault="00CE7AD4" w:rsidP="00CE7AD4">
      <w:pPr>
        <w:pStyle w:val="Identificao"/>
      </w:pPr>
    </w:p>
    <w:p w:rsidR="00CE7AD4" w:rsidRDefault="00CE7AD4" w:rsidP="00CE7AD4">
      <w:pPr>
        <w:pStyle w:val="centralizar"/>
      </w:pPr>
      <w:r>
        <w:t>E M E N T A</w:t>
      </w:r>
    </w:p>
    <w:p w:rsidR="00CE7AD4" w:rsidRDefault="00CE7AD4" w:rsidP="00CE7AD4">
      <w:pPr>
        <w:pStyle w:val="ementa"/>
        <w:spacing w:before="0"/>
      </w:pPr>
      <w:r>
        <w:t>ADMINISTRATIVO E PROCESSUAL CIVIL. AÇÃO DE DESAPROPRIAÇÃO POR INTERESSE SOCIAL PARA FINS DE REFORMA AGRÁRIA. TERRA NUA. JUSTA INDENIZAÇÃO. PREÇO DE MERCADO. AVALIAÇÃO. DATA DA PERÍCIA JUDICIAL. INEXISTÊNCIA DE EXPLORAÇÃO ECONÔMICA. JUROS COMPENSATÓRIOS INDEVIDOS. FIXAÇÃO DOS JUROS MORATÓRIOS E CORREÇÃO MONETÁRIA. PAGAMENTO POR MEIO DE PRECATÓRIO. HONORÁRIOS ADVOCATÍCIOS. ART. 27, I, DO DECRETO-LEI 3.365/41. SENTENÇA PARCIALMENTE REFORMADA. APELAÇÃO PARCIALMENTE PROVIDA.</w:t>
      </w:r>
    </w:p>
    <w:p w:rsidR="00CE7AD4" w:rsidRDefault="00CE7AD4" w:rsidP="00CE7AD4">
      <w:pPr>
        <w:pStyle w:val="ementa"/>
        <w:spacing w:before="0"/>
      </w:pPr>
      <w:r>
        <w:t>1. Apelação interposta pela expropriada contra sentença que, em ação de desapropriação para fins de reforma agrária ajuizada pelo Instituto Nacional de Colonização e Reforma Agrária – INCRA</w:t>
      </w:r>
      <w:proofErr w:type="gramStart"/>
      <w:r>
        <w:t>, julgou</w:t>
      </w:r>
      <w:proofErr w:type="gramEnd"/>
      <w:r>
        <w:t xml:space="preserve"> procedente o pedido para decretar a desapropriação do imóvel rural de propriedade da apelante em favor da autarquia federal.</w:t>
      </w:r>
    </w:p>
    <w:p w:rsidR="00CE7AD4" w:rsidRDefault="00CE7AD4" w:rsidP="00CE7AD4">
      <w:pPr>
        <w:pStyle w:val="ementa"/>
        <w:spacing w:before="0"/>
      </w:pPr>
      <w:r>
        <w:t>2. O juiz de primeiro grau adotou as conclusões do laudo administrativo confeccionado em 25/05/1998, ao fundamento de que a avaliação realizada pelo INCRA representava, à época do ajuizamento da ação de desapropriação, o valor de mercado do imóvel expropriado, porquanto corresponderia ao valor pago pela expropriada quando da aquisição do imóvel objeto da ação de desapropriação, em dezembro/97, devidamente atualizado e corrigido.</w:t>
      </w:r>
    </w:p>
    <w:p w:rsidR="00CE7AD4" w:rsidRDefault="00CE7AD4" w:rsidP="00CE7AD4">
      <w:pPr>
        <w:pStyle w:val="ementa"/>
        <w:spacing w:before="0"/>
      </w:pPr>
      <w:r>
        <w:t xml:space="preserve">3. Em atendimento ao comando constitucional da justa e prévia indenização (art. 5º, inciso XXIV, da CF), o art. 12, caput, da Lei 8.629/93 estabelece que se </w:t>
      </w:r>
      <w:proofErr w:type="gramStart"/>
      <w:r>
        <w:t>considera</w:t>
      </w:r>
      <w:proofErr w:type="gramEnd"/>
      <w:r>
        <w:t xml:space="preserve"> justa a indenização a que reflita o preço atual de mercado do imóvel.</w:t>
      </w:r>
    </w:p>
    <w:p w:rsidR="00CE7AD4" w:rsidRDefault="00CE7AD4" w:rsidP="00CE7AD4">
      <w:pPr>
        <w:pStyle w:val="ementa"/>
        <w:spacing w:before="0"/>
      </w:pPr>
      <w:r>
        <w:t xml:space="preserve">4. A jurisprudência do Superior Tribunal de Justiça está consolidada no sentido de que, para uma justa indenização, deve ser considerada a avaliação na data da perícia oficial, por se mostrar mais consentânea com o valor de mercado do imóvel. Precedentes: </w:t>
      </w:r>
      <w:proofErr w:type="gramStart"/>
      <w:r>
        <w:t>AgInt</w:t>
      </w:r>
      <w:proofErr w:type="gramEnd"/>
      <w:r>
        <w:t xml:space="preserve"> no AREsp 223.222/CE, Rel. Ministro Gurgel de Faria, Primeira Turma, DJe 05/04/2018; REsp 1.767.987/SP, Rel. Ministro Herman Benjamin, Segunda Turma, DJe 25/04/2019.</w:t>
      </w:r>
    </w:p>
    <w:p w:rsidR="00CE7AD4" w:rsidRDefault="00CE7AD4" w:rsidP="00CE7AD4">
      <w:pPr>
        <w:pStyle w:val="ementa"/>
        <w:spacing w:before="0"/>
      </w:pPr>
      <w:r>
        <w:t>5. O laudo da perícia judicial, elaborado em 20/10/2010, seguiu as normas da Associação Brasileira de Normas Técnicas – ABNT, utilizando o método comparativo de dados de mercado (NBR 14653-3), levando em conta aspectos da região como tipos de solo, relevo, clima, vegetação, recursos hídricos, e, ainda, com a coleta de dados de 07 (sete) imóveis localizados na região. Não foram identificadas benfeitorias no imóvel.</w:t>
      </w:r>
    </w:p>
    <w:p w:rsidR="00CE7AD4" w:rsidRDefault="00CE7AD4" w:rsidP="00CE7AD4">
      <w:pPr>
        <w:pStyle w:val="ementa"/>
        <w:spacing w:before="0"/>
      </w:pPr>
      <w:r>
        <w:lastRenderedPageBreak/>
        <w:t xml:space="preserve">6. O laudo pericial mostra-se bem elaborado, tendo adotado metodologia técnica adequada, fazendo a devida homogeneização dos elementos pesquisados para se chegar ao valor do hectare, utilizando-se, assim, de dados consistentes e confiáveis, razão por que o valor apurado para a indenização da terra nua, no montante de R$ 3.739.466,17, não se revela </w:t>
      </w:r>
      <w:proofErr w:type="gramStart"/>
      <w:r>
        <w:t>exorbitante, dadas</w:t>
      </w:r>
      <w:proofErr w:type="gramEnd"/>
      <w:r>
        <w:t xml:space="preserve"> as características, localização e a valorização natural do imóvel, não havendo falar em </w:t>
      </w:r>
      <w:proofErr w:type="gramStart"/>
      <w:r>
        <w:t>excesso</w:t>
      </w:r>
      <w:proofErr w:type="gramEnd"/>
      <w:r>
        <w:t xml:space="preserve"> do preço arbitrado pelo perito judicial.</w:t>
      </w:r>
    </w:p>
    <w:p w:rsidR="00CE7AD4" w:rsidRDefault="00CE7AD4" w:rsidP="00CE7AD4">
      <w:pPr>
        <w:pStyle w:val="ementa"/>
        <w:spacing w:before="0"/>
      </w:pPr>
      <w:r>
        <w:t xml:space="preserve">7. A propósito, a jurisprudência do Superior Tribunal de Justiça possui entendimento no sentido de que a indenização deve refletir o valor atual do imóvel expropriando, com a inclusão no cálculo da valorização natural decorrente da evolução do mercado, a teor do art. 12, § 2º. </w:t>
      </w:r>
      <w:proofErr w:type="gramStart"/>
      <w:r>
        <w:t>da</w:t>
      </w:r>
      <w:proofErr w:type="gramEnd"/>
      <w:r>
        <w:t xml:space="preserve"> LC 76/93. Precedente: </w:t>
      </w:r>
      <w:proofErr w:type="gramStart"/>
      <w:r>
        <w:t>EDcl</w:t>
      </w:r>
      <w:proofErr w:type="gramEnd"/>
      <w:r>
        <w:t xml:space="preserve"> no AgRg nos EDcl no REsp 1.320.202/RO, Rel. Ministro Napoleão Nunes Maia Filho, Primeira Turma, DJe 25/10/2012.</w:t>
      </w:r>
    </w:p>
    <w:p w:rsidR="00CE7AD4" w:rsidRDefault="00CE7AD4" w:rsidP="00CE7AD4">
      <w:pPr>
        <w:pStyle w:val="ementa"/>
        <w:spacing w:before="0"/>
      </w:pPr>
      <w:r>
        <w:t>8. É certo que o Superior Tribunal de Justiça excepciona a regra da contemporaneidade da avaliação judicial para a fixação da indenização, quando ocorre um lapso temporal grande entre a imissão na posse e a avaliação oficial e/ou uma valorização exagerada do imóvel, de forma a acarretar um evidente desequilíbrio, a ponto de destruir o conceito de justa indenização (</w:t>
      </w:r>
      <w:proofErr w:type="gramStart"/>
      <w:r>
        <w:t>REsp</w:t>
      </w:r>
      <w:proofErr w:type="gramEnd"/>
      <w:r>
        <w:t xml:space="preserve"> 1.682.157/SC, Rel. Ministro Gurgel de Faria, Primeira Turma, DJe 24/05/2019).</w:t>
      </w:r>
    </w:p>
    <w:p w:rsidR="00CE7AD4" w:rsidRDefault="00CE7AD4" w:rsidP="00CE7AD4">
      <w:pPr>
        <w:pStyle w:val="ementa"/>
        <w:spacing w:before="0"/>
      </w:pPr>
      <w:r>
        <w:t>9. No caso dos autos, porém, apesar de a imissão do INCRA na posse do imóvel ter ocorrido em 01/10/99 e o laudo pericial datar de 20/10/2010, não se constata que houve uma valorização exorbitante, uma vez que o laudo pericial foi elaborado com base em ofertas e negociações de amostras representativas de dados de mercado de imóveis da mesma região de influência econômica, semelhantes às características do imóvel avaliando, seguido da devida homogeneização dos elementos de pesquisa.</w:t>
      </w:r>
    </w:p>
    <w:p w:rsidR="00CE7AD4" w:rsidRDefault="00CE7AD4" w:rsidP="00CE7AD4">
      <w:pPr>
        <w:pStyle w:val="ementa"/>
        <w:spacing w:before="0"/>
      </w:pPr>
      <w:r>
        <w:t>10. O INCRA, em suas contrarrazões recursais, defende que o laudo da perícia judicial fez uma “superavaliação” do imóvel, “em dissonância com o valor de mercado do imóvel na região onde se localiza”.</w:t>
      </w:r>
    </w:p>
    <w:p w:rsidR="00CE7AD4" w:rsidRDefault="00CE7AD4" w:rsidP="00CE7AD4">
      <w:pPr>
        <w:pStyle w:val="ementa"/>
        <w:spacing w:before="0"/>
      </w:pPr>
      <w:r>
        <w:t>11. Alega, para tanto, que “os imóveis considerados como paradigma possuem características bem diferentes até mesmo quanto ao quantitativo de área”, uma vez que “não obstante o imóvel avaliado possuir área registrada de 3.599,7749 ha, a medição dos utilizados como paradigmas varia entre 532,40 ha e 2.662,00 ha”.</w:t>
      </w:r>
    </w:p>
    <w:p w:rsidR="005464F5" w:rsidRDefault="00CE7AD4" w:rsidP="00CE7AD4">
      <w:pPr>
        <w:pStyle w:val="ementa"/>
        <w:spacing w:before="0"/>
      </w:pPr>
      <w:r>
        <w:t>12. Con</w:t>
      </w:r>
      <w:r w:rsidR="004E38BD">
        <w:t>tudo</w:t>
      </w:r>
      <w:r>
        <w:t>, não se poderia mesmo ter como exorbitante o valor apurado para o hectare da terra nua, uma vez que</w:t>
      </w:r>
      <w:r w:rsidR="005464F5" w:rsidRPr="005464F5">
        <w:t xml:space="preserve"> o perito judicial realizou a devida homogeneização dos dados amostrais, encontrando o valor do hectare equivalente ao do imóvel expropriado.</w:t>
      </w:r>
    </w:p>
    <w:p w:rsidR="00CE7AD4" w:rsidRDefault="00CE7AD4" w:rsidP="00CE7AD4">
      <w:pPr>
        <w:pStyle w:val="ementa"/>
        <w:spacing w:before="0"/>
      </w:pPr>
      <w:r>
        <w:t>1</w:t>
      </w:r>
      <w:r w:rsidR="004E38BD">
        <w:t>3</w:t>
      </w:r>
      <w:r>
        <w:t>. Apesar de afirmar a superavaliação do imóvel, não demonstrou o expropriante, objetivamente, a alegada valorização excessiva do imóvel em relação a outros similares existentes na região.</w:t>
      </w:r>
    </w:p>
    <w:p w:rsidR="00CE7AD4" w:rsidRDefault="00CE7AD4" w:rsidP="00CE7AD4">
      <w:pPr>
        <w:pStyle w:val="ementa"/>
        <w:spacing w:before="0"/>
      </w:pPr>
      <w:r>
        <w:t>1</w:t>
      </w:r>
      <w:r w:rsidR="004E38BD">
        <w:t>4</w:t>
      </w:r>
      <w:r>
        <w:t>. No que diz respeito à alegação da autarquia federal de que sobre os valores dos imóveis pesquisados não foi aplicado nenhum desconto para pagamentos à vista, bem como que os valores foram indevidamente atualizados para o dia da avaliação, não apresentou o expropriante nenhuma norma legal que corroborasse tais entendimentos.</w:t>
      </w:r>
    </w:p>
    <w:p w:rsidR="00CE7AD4" w:rsidRDefault="00CE7AD4" w:rsidP="00CE7AD4">
      <w:pPr>
        <w:pStyle w:val="ementa"/>
        <w:spacing w:before="0"/>
      </w:pPr>
      <w:r>
        <w:t>1</w:t>
      </w:r>
      <w:r w:rsidR="004E38BD">
        <w:t>5</w:t>
      </w:r>
      <w:r>
        <w:t>. De outro lado, o fato de a nota agronômica atribuída pelo INCRA (0,55475) ter sido inferior à atribuída pelo perito (0,605) não evidencia nenhuma irregularidade, tendo em vista que, segundo afirmou a própria autarquia, foram utilizados critérios distintos para o cálculo da nota agronômica, sendo certo que o perito utilizou os critérios da NBR 14653-3, amplamente aceitos pela jurisprudência.</w:t>
      </w:r>
    </w:p>
    <w:p w:rsidR="00CE7AD4" w:rsidRDefault="00CE7AD4" w:rsidP="00CE7AD4">
      <w:pPr>
        <w:pStyle w:val="ementa"/>
        <w:spacing w:before="0"/>
      </w:pPr>
      <w:r>
        <w:t>1</w:t>
      </w:r>
      <w:r w:rsidR="004E38BD">
        <w:t>6</w:t>
      </w:r>
      <w:r>
        <w:t>. Em relação à afirmação contida na sentença de que “o valor atualizado do depósito inicial (R$ 800.887,82) guarda harmonia com a ‘Tabela Referencial de Preços de Terras no Estado de Mato Grosso’”, tal fundamento não é preponderante para a fixação do valor da indenização.</w:t>
      </w:r>
    </w:p>
    <w:p w:rsidR="00CE7AD4" w:rsidRDefault="00CE7AD4" w:rsidP="00CE7AD4">
      <w:pPr>
        <w:pStyle w:val="ementa"/>
        <w:spacing w:before="0"/>
      </w:pPr>
      <w:r>
        <w:t>1</w:t>
      </w:r>
      <w:r w:rsidR="004E38BD">
        <w:t>7</w:t>
      </w:r>
      <w:r>
        <w:t xml:space="preserve">. É sabido que os valores indicados em tabelas de preços referenciais elaboradas pelo INCRA nem sempre representam o valor de mercado do bem objeto de desapropriação, porquanto </w:t>
      </w:r>
      <w:proofErr w:type="gramStart"/>
      <w:r>
        <w:t>levam</w:t>
      </w:r>
      <w:proofErr w:type="gramEnd"/>
      <w:r>
        <w:t xml:space="preserve"> em conta apenas a nota agronômica do imóvel, não considerando a individualidade de cada </w:t>
      </w:r>
      <w:r>
        <w:lastRenderedPageBreak/>
        <w:t xml:space="preserve">imóvel. Precedentes do Tribunal: AC 0012705-17.2010.4.01.4300, Rel. Desembargador Federal Ney Bello, Terceira Turma, e-DJF1 24/02/2017; AC 0044210-80.2010.4.01.3700, Rel. Desembargador Federal Néviton Guedes, Quarta Turma, </w:t>
      </w:r>
      <w:proofErr w:type="gramStart"/>
      <w:r>
        <w:t>PJe</w:t>
      </w:r>
      <w:proofErr w:type="gramEnd"/>
      <w:r>
        <w:t xml:space="preserve"> 09/10/2020.</w:t>
      </w:r>
    </w:p>
    <w:p w:rsidR="00CE7AD4" w:rsidRDefault="00CE7AD4" w:rsidP="00CE7AD4">
      <w:pPr>
        <w:pStyle w:val="ementa"/>
        <w:spacing w:before="0"/>
      </w:pPr>
      <w:r>
        <w:t>1</w:t>
      </w:r>
      <w:r w:rsidR="004E38BD">
        <w:t>8</w:t>
      </w:r>
      <w:r>
        <w:t>. O laudo da perícia judicial concluiu que não havia exploração de atividade econômica no imóvel, nem mesmo a existência de projeto de manejo florestal, razão por que não é devido o pagamento dos juros compensatórios, de acordo com o decidido pelo STF no julgamento do mérito da ADI 2.332/DF (Constitucionalidade dos §§ 1º, 2º e 4º, do art. 15-A, do Decreto-lei nº 3.365/1941).</w:t>
      </w:r>
    </w:p>
    <w:p w:rsidR="00CE7AD4" w:rsidRDefault="004E38BD" w:rsidP="00CE7AD4">
      <w:pPr>
        <w:pStyle w:val="ementa"/>
        <w:spacing w:before="0"/>
      </w:pPr>
      <w:r>
        <w:t>19</w:t>
      </w:r>
      <w:r w:rsidR="00CE7AD4">
        <w:t xml:space="preserve">. Os juros moratórios devem ser fixados em 6% (seis por cento) ao ano, a partir de 1º de janeiro do exercício seguinte àquele em que o pagamento deveria ser feito, nos termos do art. 100 da CF, sobre a diferença entre os 80% do valor da oferta inicial e o fixado na sentença (STJ, </w:t>
      </w:r>
      <w:bookmarkStart w:id="0" w:name="__DdeLink__692_767798724"/>
      <w:proofErr w:type="gramStart"/>
      <w:r w:rsidR="00CE7AD4">
        <w:t>REsp</w:t>
      </w:r>
      <w:proofErr w:type="gramEnd"/>
      <w:r w:rsidR="00CE7AD4">
        <w:t xml:space="preserve"> 1.758.983/SE, Rel. Ministro Herman Benjamin, Segunda Turma, DJe 16/11/2018</w:t>
      </w:r>
      <w:bookmarkEnd w:id="0"/>
      <w:r w:rsidR="00CE7AD4">
        <w:t>).</w:t>
      </w:r>
    </w:p>
    <w:p w:rsidR="00CE7AD4" w:rsidRDefault="00CE7AD4" w:rsidP="00CE7AD4">
      <w:pPr>
        <w:pStyle w:val="ementa"/>
        <w:spacing w:before="0"/>
      </w:pPr>
      <w:r>
        <w:t>2</w:t>
      </w:r>
      <w:r w:rsidR="004E38BD">
        <w:t>0</w:t>
      </w:r>
      <w:r>
        <w:t xml:space="preserve">. O art. 5º, § 8º, da Lei 8.629/93, inserido pela Lei 13.465/2017, prevê que a diferença de valores referentes à terra nua e benfeitorias deverá ser paga por meio de precatórios, e não por meio da emissão de </w:t>
      </w:r>
      <w:proofErr w:type="spellStart"/>
      <w:r>
        <w:t>TDA's</w:t>
      </w:r>
      <w:proofErr w:type="spellEnd"/>
      <w:r>
        <w:t xml:space="preserve"> complementares.</w:t>
      </w:r>
    </w:p>
    <w:p w:rsidR="00CE7AD4" w:rsidRDefault="00CE7AD4" w:rsidP="00CE7AD4">
      <w:pPr>
        <w:pStyle w:val="ementa"/>
        <w:spacing w:before="0"/>
      </w:pPr>
      <w:r>
        <w:t>2</w:t>
      </w:r>
      <w:r w:rsidR="004E38BD">
        <w:t>1</w:t>
      </w:r>
      <w:r>
        <w:t>. Tendo em vista que a alteração ocorrida na referida norma legal tem natureza procedimental, deve ela ter aplicação imediata. Precedente do Tribunal: AC 0024149-12.2016.4.01.3500, Rel. Desembargador Federal Olindo Menezes, Quarta Turma, e-DJF1 04/02/2020.</w:t>
      </w:r>
    </w:p>
    <w:p w:rsidR="00CE7AD4" w:rsidRDefault="00CE7AD4" w:rsidP="00CE7AD4">
      <w:pPr>
        <w:pStyle w:val="ementa"/>
        <w:spacing w:before="0"/>
      </w:pPr>
      <w:r>
        <w:t>2</w:t>
      </w:r>
      <w:r w:rsidR="004E38BD">
        <w:t>2</w:t>
      </w:r>
      <w:r>
        <w:t>. A correção monetária dos Títulos da Dívida Agrária, que possuem regulamentação própria, deve ser feita nos termos do Decreto 578/92 e da Lei 8.177/91, desde a data do laudo pericial (20/10/2010) até o efetivo pagamento (AC 0023406-58.2005.4.01.3800, Rel. Desembargador Federal Olindo Menezes, Quarta Turma, e-DJF1 27/01/2021).</w:t>
      </w:r>
    </w:p>
    <w:p w:rsidR="00CE7AD4" w:rsidRDefault="00CE7AD4" w:rsidP="00CE7AD4">
      <w:pPr>
        <w:pStyle w:val="ementa"/>
        <w:spacing w:before="0"/>
      </w:pPr>
      <w:r>
        <w:t>2</w:t>
      </w:r>
      <w:r w:rsidR="004E38BD">
        <w:t>3</w:t>
      </w:r>
      <w:r>
        <w:t xml:space="preserve">. </w:t>
      </w:r>
      <w:r w:rsidR="0028037D">
        <w:t>H</w:t>
      </w:r>
      <w:r>
        <w:t>onorários advocatícios em favor da parte expropriada</w:t>
      </w:r>
      <w:r w:rsidR="0028037D">
        <w:t xml:space="preserve"> devem ser arbitrados </w:t>
      </w:r>
      <w:r>
        <w:t xml:space="preserve">no percentual de 2% (dois por cento) sobre a diferença entre o valor ofertado e o valor da indenização fixado na sentença, a teor do art. 27, § 1º, do Decreto-Lei 3.365/41. </w:t>
      </w:r>
    </w:p>
    <w:p w:rsidR="00CE7AD4" w:rsidRDefault="00CE7AD4" w:rsidP="00CE7AD4">
      <w:pPr>
        <w:pStyle w:val="ementa"/>
        <w:spacing w:before="0"/>
      </w:pPr>
      <w:r>
        <w:t>2</w:t>
      </w:r>
      <w:r w:rsidR="004E38BD">
        <w:t>4</w:t>
      </w:r>
      <w:r>
        <w:t>. Apelação da expropriada a que se dá parcial provimento para, reformando, em parte, a sentença, fixar a indenização de acordo com o valor apurado no laudo da perícia judicial, sem a incidência de juros compensatórios.</w:t>
      </w:r>
    </w:p>
    <w:p w:rsidR="00CE7AD4" w:rsidRDefault="00CE7AD4" w:rsidP="00CE7AD4">
      <w:pPr>
        <w:pStyle w:val="ementa"/>
      </w:pPr>
      <w:r>
        <w:t xml:space="preserve"> </w:t>
      </w:r>
    </w:p>
    <w:p w:rsidR="00CE7AD4" w:rsidRDefault="00CE7AD4" w:rsidP="00CE7AD4">
      <w:pPr>
        <w:pStyle w:val="centralizar"/>
        <w:spacing w:before="240" w:after="240"/>
        <w:rPr>
          <w:szCs w:val="22"/>
        </w:rPr>
      </w:pPr>
      <w:r>
        <w:rPr>
          <w:szCs w:val="22"/>
        </w:rPr>
        <w:t>A C Ó R D Ã O</w:t>
      </w:r>
    </w:p>
    <w:p w:rsidR="00CE7AD4" w:rsidRDefault="00CE7AD4" w:rsidP="00CE7AD4">
      <w:pPr>
        <w:pStyle w:val="ementa"/>
        <w:ind w:firstLine="1701"/>
      </w:pPr>
      <w:r>
        <w:t>Decide a Quarta Turma do Tribunal Regional Federal da 1ª Região, por unanimidade, dar parcial provimento à apelação, nos termos do voto do relator.</w:t>
      </w:r>
    </w:p>
    <w:p w:rsidR="00CE7AD4" w:rsidRDefault="00CE7AD4" w:rsidP="00CE7AD4">
      <w:pPr>
        <w:pStyle w:val="ementa"/>
        <w:ind w:firstLine="1701"/>
      </w:pPr>
      <w:r>
        <w:t>Brasília/DF, 10 de agosto de 2021.</w:t>
      </w:r>
    </w:p>
    <w:p w:rsidR="00CE7AD4" w:rsidRDefault="00CE7AD4" w:rsidP="00CE7AD4">
      <w:pPr>
        <w:pStyle w:val="assinatura"/>
      </w:pPr>
    </w:p>
    <w:p w:rsidR="00CE7AD4" w:rsidRDefault="00CE7AD4" w:rsidP="00CE7AD4">
      <w:pPr>
        <w:pStyle w:val="assinatura"/>
      </w:pPr>
    </w:p>
    <w:p w:rsidR="00CE7AD4" w:rsidRDefault="00CE7AD4" w:rsidP="00CE7AD4">
      <w:pPr>
        <w:pStyle w:val="assinatura"/>
        <w:rPr>
          <w:b/>
        </w:rPr>
      </w:pPr>
      <w:r>
        <w:t xml:space="preserve">Desembargador Federal </w:t>
      </w:r>
      <w:r>
        <w:rPr>
          <w:b/>
        </w:rPr>
        <w:t>NÉVITON GUEDES</w:t>
      </w:r>
    </w:p>
    <w:p w:rsidR="00CE7AD4" w:rsidRDefault="00DF35E8" w:rsidP="00DF35E8">
      <w:pPr>
        <w:pStyle w:val="assinatura"/>
      </w:pPr>
      <w:r>
        <w:t>Relator</w:t>
      </w:r>
    </w:p>
    <w:sectPr w:rsidR="00CE7AD4"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AD4" w:rsidRDefault="00CE7AD4">
      <w:r>
        <w:separator/>
      </w:r>
    </w:p>
  </w:endnote>
  <w:endnote w:type="continuationSeparator" w:id="1">
    <w:p w:rsidR="00CE7AD4" w:rsidRDefault="00CE7A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291F08">
      <w:rPr>
        <w:rFonts w:ascii="Arial" w:hAnsi="Arial"/>
        <w:sz w:val="10"/>
      </w:rPr>
      <w:fldChar w:fldCharType="begin"/>
    </w:r>
    <w:r>
      <w:rPr>
        <w:rFonts w:ascii="Arial" w:hAnsi="Arial"/>
        <w:sz w:val="10"/>
      </w:rPr>
      <w:instrText xml:space="preserve"> FILENAME \p </w:instrText>
    </w:r>
    <w:r w:rsidR="00291F08">
      <w:rPr>
        <w:rFonts w:ascii="Arial" w:hAnsi="Arial"/>
        <w:sz w:val="10"/>
      </w:rPr>
      <w:fldChar w:fldCharType="separate"/>
    </w:r>
    <w:r w:rsidR="00DF6F8B">
      <w:rPr>
        <w:rFonts w:ascii="Arial" w:hAnsi="Arial"/>
        <w:noProof/>
        <w:sz w:val="10"/>
      </w:rPr>
      <w:t>W:\ASSESSORIA\DESAPROPRIAÇÃO\1054-37.1999-FAL.ap.reforma agrária indenização avaliação data perícia judicial.docx</w:t>
    </w:r>
    <w:r w:rsidR="00291F08">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291F08">
      <w:rPr>
        <w:rFonts w:ascii="Arial" w:hAnsi="Arial"/>
        <w:sz w:val="13"/>
      </w:rPr>
      <w:fldChar w:fldCharType="begin"/>
    </w:r>
    <w:r>
      <w:rPr>
        <w:rFonts w:ascii="Arial" w:hAnsi="Arial"/>
        <w:sz w:val="13"/>
      </w:rPr>
      <w:instrText xml:space="preserve"> FILENAME \p </w:instrText>
    </w:r>
    <w:r w:rsidR="00291F08">
      <w:rPr>
        <w:rFonts w:ascii="Arial" w:hAnsi="Arial"/>
        <w:sz w:val="13"/>
      </w:rPr>
      <w:fldChar w:fldCharType="separate"/>
    </w:r>
    <w:r w:rsidR="00DF6F8B">
      <w:rPr>
        <w:rFonts w:ascii="Arial" w:hAnsi="Arial"/>
        <w:noProof/>
        <w:sz w:val="13"/>
      </w:rPr>
      <w:t>W:\ASSESSORIA\DESAPROPRIAÇÃO\1054-37.1999-FAL.ap.reforma agrária indenização avaliação data perícia judicial.docx</w:t>
    </w:r>
    <w:r w:rsidR="00291F08">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291F08">
      <w:rPr>
        <w:rFonts w:ascii="Arial" w:hAnsi="Arial"/>
        <w:sz w:val="13"/>
      </w:rPr>
      <w:fldChar w:fldCharType="begin"/>
    </w:r>
    <w:r>
      <w:rPr>
        <w:rFonts w:ascii="Arial" w:hAnsi="Arial"/>
        <w:sz w:val="13"/>
      </w:rPr>
      <w:instrText xml:space="preserve"> AUTHOR </w:instrText>
    </w:r>
    <w:r w:rsidR="00291F08">
      <w:rPr>
        <w:rFonts w:ascii="Arial" w:hAnsi="Arial"/>
        <w:sz w:val="13"/>
      </w:rPr>
      <w:fldChar w:fldCharType="separate"/>
    </w:r>
    <w:r w:rsidR="00DF6F8B">
      <w:rPr>
        <w:rFonts w:ascii="Arial" w:hAnsi="Arial"/>
        <w:noProof/>
        <w:sz w:val="13"/>
      </w:rPr>
      <w:t>tr300961</w:t>
    </w:r>
    <w:r w:rsidR="00291F08">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AD4" w:rsidRDefault="00CE7AD4">
      <w:r>
        <w:separator/>
      </w:r>
    </w:p>
  </w:footnote>
  <w:footnote w:type="continuationSeparator" w:id="1">
    <w:p w:rsidR="00CE7AD4" w:rsidRDefault="00CE7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291F08">
      <w:rPr>
        <w:rFonts w:ascii="Arial" w:hAnsi="Arial" w:cs="Arial"/>
        <w:bCs/>
        <w:sz w:val="16"/>
      </w:rPr>
      <w:fldChar w:fldCharType="begin"/>
    </w:r>
    <w:r>
      <w:rPr>
        <w:rFonts w:ascii="Arial" w:hAnsi="Arial" w:cs="Arial"/>
        <w:bCs/>
        <w:sz w:val="16"/>
      </w:rPr>
      <w:instrText xml:space="preserve"> PAGE </w:instrText>
    </w:r>
    <w:r w:rsidR="00291F08">
      <w:rPr>
        <w:rFonts w:ascii="Arial" w:hAnsi="Arial" w:cs="Arial"/>
        <w:bCs/>
        <w:sz w:val="16"/>
      </w:rPr>
      <w:fldChar w:fldCharType="separate"/>
    </w:r>
    <w:r w:rsidR="00DF35E8">
      <w:rPr>
        <w:rFonts w:ascii="Arial" w:hAnsi="Arial" w:cs="Arial"/>
        <w:bCs/>
        <w:noProof/>
        <w:sz w:val="16"/>
      </w:rPr>
      <w:t>2</w:t>
    </w:r>
    <w:r w:rsidR="00291F08">
      <w:rPr>
        <w:rFonts w:ascii="Arial" w:hAnsi="Arial" w:cs="Arial"/>
        <w:bCs/>
        <w:sz w:val="16"/>
      </w:rPr>
      <w:fldChar w:fldCharType="end"/>
    </w:r>
    <w:r>
      <w:rPr>
        <w:rFonts w:ascii="Arial" w:hAnsi="Arial" w:cs="Arial"/>
        <w:bCs/>
        <w:sz w:val="16"/>
      </w:rPr>
      <w:t>/</w:t>
    </w:r>
    <w:r w:rsidR="00291F08">
      <w:rPr>
        <w:rFonts w:ascii="Arial" w:hAnsi="Arial" w:cs="Arial"/>
        <w:bCs/>
        <w:sz w:val="16"/>
      </w:rPr>
      <w:fldChar w:fldCharType="begin"/>
    </w:r>
    <w:r>
      <w:rPr>
        <w:rFonts w:ascii="Arial" w:hAnsi="Arial" w:cs="Arial"/>
        <w:bCs/>
        <w:sz w:val="16"/>
      </w:rPr>
      <w:instrText xml:space="preserve"> NUMPAGES </w:instrText>
    </w:r>
    <w:r w:rsidR="00291F08">
      <w:rPr>
        <w:rFonts w:ascii="Arial" w:hAnsi="Arial" w:cs="Arial"/>
        <w:bCs/>
        <w:sz w:val="16"/>
      </w:rPr>
      <w:fldChar w:fldCharType="separate"/>
    </w:r>
    <w:r w:rsidR="00DF35E8">
      <w:rPr>
        <w:rFonts w:ascii="Arial" w:hAnsi="Arial" w:cs="Arial"/>
        <w:bCs/>
        <w:noProof/>
        <w:sz w:val="16"/>
      </w:rPr>
      <w:t>3</w:t>
    </w:r>
    <w:r w:rsidR="00291F08">
      <w:rPr>
        <w:rFonts w:ascii="Arial" w:hAnsi="Arial" w:cs="Arial"/>
        <w:bCs/>
        <w:sz w:val="16"/>
      </w:rPr>
      <w:fldChar w:fldCharType="end"/>
    </w:r>
  </w:p>
  <w:p w:rsidR="00CE7AD4" w:rsidRPr="00CE7AD4" w:rsidRDefault="00CE7AD4" w:rsidP="00CE7AD4">
    <w:pPr>
      <w:pStyle w:val="Identificao"/>
      <w:rPr>
        <w:b/>
        <w:u w:val="single"/>
      </w:rPr>
    </w:pPr>
    <w:r w:rsidRPr="00CE7AD4">
      <w:rPr>
        <w:b/>
        <w:u w:val="single"/>
      </w:rPr>
      <w:t>APELAÇÃO CÍVEL</w:t>
    </w:r>
    <w:proofErr w:type="gramStart"/>
    <w:r w:rsidRPr="00CE7AD4">
      <w:rPr>
        <w:b/>
        <w:u w:val="single"/>
      </w:rPr>
      <w:t xml:space="preserve">  </w:t>
    </w:r>
    <w:proofErr w:type="gramEnd"/>
    <w:r w:rsidRPr="00CE7AD4">
      <w:rPr>
        <w:b/>
        <w:u w:val="single"/>
      </w:rPr>
      <w:t>1999.36.00.001054-1/MT</w:t>
    </w:r>
  </w:p>
  <w:p w:rsidR="00CE7AD4" w:rsidRPr="00846999" w:rsidRDefault="00CE7AD4" w:rsidP="00CE7AD4">
    <w:pPr>
      <w:pStyle w:val="Identificao"/>
    </w:pPr>
    <w:r w:rsidRPr="00846999">
      <w:t>Processo na Origem: 10543719994013600</w:t>
    </w:r>
  </w:p>
  <w:p w:rsidR="00CE7AD4" w:rsidRDefault="00CE7AD4">
    <w:pPr>
      <w:tabs>
        <w:tab w:val="right" w:pos="9540"/>
      </w:tabs>
      <w:spacing w:after="120"/>
      <w:rPr>
        <w:rFonts w:ascii="Arial" w:hAnsi="Arial" w:cs="Arial"/>
        <w:bCs/>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AD4" w:rsidRPr="00CE7AD4" w:rsidRDefault="00CE7AD4" w:rsidP="00CE7AD4">
    <w:pPr>
      <w:jc w:val="right"/>
      <w:rPr>
        <w:rFonts w:ascii="Interleaved 2of5" w:hAnsi="Interleaved 2of5"/>
        <w:sz w:val="48"/>
      </w:rPr>
    </w:pPr>
    <w:r w:rsidRPr="00CE7AD4">
      <w:rPr>
        <w:rFonts w:ascii="Interleaved 2of5" w:hAnsi="Interleaved 2of5"/>
        <w:sz w:val="48"/>
      </w:rPr>
      <w:t>(15[Õñì1T0)</w:t>
    </w:r>
  </w:p>
  <w:p w:rsidR="00CE7AD4" w:rsidRDefault="00CE7AD4" w:rsidP="00CE7AD4">
    <w:pPr>
      <w:spacing w:before="120"/>
      <w:rPr>
        <w:rFonts w:ascii="Arial" w:hAnsi="Arial"/>
        <w:sz w:val="16"/>
      </w:rPr>
    </w:pPr>
  </w:p>
  <w:p w:rsidR="004554A7" w:rsidRDefault="00CE7AD4"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4501AB"/>
    <w:rsid w:val="00051E64"/>
    <w:rsid w:val="001350D4"/>
    <w:rsid w:val="0015179D"/>
    <w:rsid w:val="00191A8C"/>
    <w:rsid w:val="002223DE"/>
    <w:rsid w:val="002331F7"/>
    <w:rsid w:val="0028037D"/>
    <w:rsid w:val="00291F08"/>
    <w:rsid w:val="002B24B6"/>
    <w:rsid w:val="003877D9"/>
    <w:rsid w:val="00413610"/>
    <w:rsid w:val="004269A8"/>
    <w:rsid w:val="004501AB"/>
    <w:rsid w:val="004554A7"/>
    <w:rsid w:val="00462716"/>
    <w:rsid w:val="00470EAE"/>
    <w:rsid w:val="00471CDF"/>
    <w:rsid w:val="004C17AC"/>
    <w:rsid w:val="004E38BD"/>
    <w:rsid w:val="0051687B"/>
    <w:rsid w:val="005464F5"/>
    <w:rsid w:val="005E20DB"/>
    <w:rsid w:val="006779DE"/>
    <w:rsid w:val="006A4ECE"/>
    <w:rsid w:val="00792BA7"/>
    <w:rsid w:val="007A7066"/>
    <w:rsid w:val="007C3424"/>
    <w:rsid w:val="007F2797"/>
    <w:rsid w:val="008713AE"/>
    <w:rsid w:val="00872397"/>
    <w:rsid w:val="008A3D69"/>
    <w:rsid w:val="008C4395"/>
    <w:rsid w:val="00924BCC"/>
    <w:rsid w:val="0099169E"/>
    <w:rsid w:val="00AB0782"/>
    <w:rsid w:val="00BD508C"/>
    <w:rsid w:val="00C5492A"/>
    <w:rsid w:val="00C74BF4"/>
    <w:rsid w:val="00CE7AD4"/>
    <w:rsid w:val="00D221D6"/>
    <w:rsid w:val="00DD0AC9"/>
    <w:rsid w:val="00DF35E8"/>
    <w:rsid w:val="00DF6F8B"/>
    <w:rsid w:val="00E41708"/>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797"/>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7F2797"/>
    <w:pPr>
      <w:spacing w:before="0" w:after="0"/>
    </w:pPr>
  </w:style>
  <w:style w:type="paragraph" w:customStyle="1" w:styleId="ementa">
    <w:name w:val="ementa"/>
    <w:basedOn w:val="Pargrafo"/>
    <w:qFormat/>
    <w:rsid w:val="002331F7"/>
    <w:pPr>
      <w:ind w:firstLine="0"/>
    </w:pPr>
  </w:style>
  <w:style w:type="paragraph" w:customStyle="1" w:styleId="Pargrafo">
    <w:name w:val="Parágrafo"/>
    <w:basedOn w:val="Normal"/>
    <w:link w:val="PargrafoChar"/>
    <w:uiPriority w:val="99"/>
    <w:qFormat/>
    <w:rsid w:val="007F2797"/>
    <w:pPr>
      <w:spacing w:before="120" w:after="120"/>
      <w:ind w:firstLine="1418"/>
      <w:jc w:val="both"/>
    </w:pPr>
    <w:rPr>
      <w:rFonts w:ascii="Arial" w:hAnsi="Arial"/>
      <w:sz w:val="22"/>
    </w:rPr>
  </w:style>
  <w:style w:type="paragraph" w:customStyle="1" w:styleId="centralizar">
    <w:name w:val="centralizar"/>
    <w:basedOn w:val="Pargrafo"/>
    <w:next w:val="Pargrafo"/>
    <w:qFormat/>
    <w:rsid w:val="007F2797"/>
    <w:pPr>
      <w:spacing w:before="360" w:after="360"/>
      <w:ind w:firstLine="0"/>
      <w:jc w:val="center"/>
    </w:pPr>
    <w:rPr>
      <w:b/>
    </w:rPr>
  </w:style>
  <w:style w:type="paragraph" w:customStyle="1" w:styleId="Transcrio">
    <w:name w:val="Transcrição"/>
    <w:basedOn w:val="Pargrafo"/>
    <w:link w:val="TranscrioChar"/>
    <w:qFormat/>
    <w:rsid w:val="007F2797"/>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7F2797"/>
    <w:pPr>
      <w:ind w:left="2835"/>
    </w:pPr>
  </w:style>
  <w:style w:type="paragraph" w:customStyle="1" w:styleId="transcrio3">
    <w:name w:val="transcrição 3"/>
    <w:basedOn w:val="Identificao"/>
    <w:rsid w:val="007F2797"/>
    <w:pPr>
      <w:ind w:left="3686"/>
    </w:pPr>
    <w:rPr>
      <w:i/>
      <w:iCs/>
    </w:rPr>
  </w:style>
  <w:style w:type="paragraph" w:customStyle="1" w:styleId="transcrio4">
    <w:name w:val="transcrição 4"/>
    <w:basedOn w:val="transcrio3"/>
    <w:rsid w:val="007F2797"/>
    <w:pPr>
      <w:ind w:left="4536"/>
    </w:pPr>
  </w:style>
  <w:style w:type="paragraph" w:customStyle="1" w:styleId="assinatura">
    <w:name w:val="assinatura"/>
    <w:basedOn w:val="Pargrafo"/>
    <w:qFormat/>
    <w:rsid w:val="007F2797"/>
    <w:pPr>
      <w:spacing w:before="0" w:after="0"/>
      <w:ind w:firstLine="0"/>
      <w:jc w:val="center"/>
    </w:pPr>
  </w:style>
  <w:style w:type="paragraph" w:customStyle="1" w:styleId="Pargrafo2">
    <w:name w:val="Parágrafo 2"/>
    <w:basedOn w:val="Pargrafo"/>
    <w:rsid w:val="007F2797"/>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CE7AD4"/>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CE7AD4"/>
    <w:rPr>
      <w:rFonts w:ascii="Consolas" w:eastAsiaTheme="minorHAnsi" w:hAnsi="Consolas" w:cstheme="minorBidi"/>
      <w:sz w:val="21"/>
      <w:szCs w:val="21"/>
      <w:lang w:eastAsia="en-US"/>
    </w:rPr>
  </w:style>
  <w:style w:type="character" w:customStyle="1" w:styleId="PargrafoChar">
    <w:name w:val="Parágrafo Char"/>
    <w:basedOn w:val="Fontepargpadro"/>
    <w:link w:val="Pargrafo"/>
    <w:uiPriority w:val="99"/>
    <w:qFormat/>
    <w:locked/>
    <w:rsid w:val="00CE7AD4"/>
    <w:rPr>
      <w:rFonts w:ascii="Arial" w:hAnsi="Arial"/>
      <w:sz w:val="22"/>
      <w:szCs w:val="24"/>
    </w:rPr>
  </w:style>
  <w:style w:type="character" w:customStyle="1" w:styleId="TranscrioChar">
    <w:name w:val="Transcrição Char"/>
    <w:basedOn w:val="Fontepargpadro"/>
    <w:link w:val="Transcrio"/>
    <w:qFormat/>
    <w:locked/>
    <w:rsid w:val="00CE7AD4"/>
    <w:rPr>
      <w:rFonts w:ascii="Arial" w:hAnsi="Arial"/>
      <w:i/>
      <w:sz w:val="22"/>
      <w:szCs w:val="24"/>
    </w:rPr>
  </w:style>
  <w:style w:type="character" w:customStyle="1" w:styleId="LinkdaInternet">
    <w:name w:val="Link da Internet"/>
    <w:rsid w:val="00CE7AD4"/>
    <w:rPr>
      <w:color w:val="000080"/>
      <w:u w:val="single"/>
    </w:rPr>
  </w:style>
  <w:style w:type="paragraph" w:styleId="Textodebalo">
    <w:name w:val="Balloon Text"/>
    <w:basedOn w:val="Normal"/>
    <w:link w:val="TextodebaloChar"/>
    <w:rsid w:val="004501AB"/>
    <w:rPr>
      <w:rFonts w:ascii="Tahoma" w:hAnsi="Tahoma" w:cs="Tahoma"/>
      <w:sz w:val="16"/>
      <w:szCs w:val="16"/>
    </w:rPr>
  </w:style>
  <w:style w:type="character" w:customStyle="1" w:styleId="TextodebaloChar">
    <w:name w:val="Texto de balão Char"/>
    <w:basedOn w:val="Fontepargpadro"/>
    <w:link w:val="Textodebalo"/>
    <w:rsid w:val="004501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4438266">
      <w:bodyDiv w:val="1"/>
      <w:marLeft w:val="0"/>
      <w:marRight w:val="0"/>
      <w:marTop w:val="0"/>
      <w:marBottom w:val="0"/>
      <w:divBdr>
        <w:top w:val="none" w:sz="0" w:space="0" w:color="auto"/>
        <w:left w:val="none" w:sz="0" w:space="0" w:color="auto"/>
        <w:bottom w:val="none" w:sz="0" w:space="0" w:color="auto"/>
        <w:right w:val="none" w:sz="0" w:space="0" w:color="auto"/>
      </w:divBdr>
    </w:div>
    <w:div w:id="15194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TotalTime>
  <Pages>3</Pages>
  <Words>1442</Words>
  <Characters>7966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9390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tr300961</dc:creator>
  <cp:lastModifiedBy>Gabriel Goulart</cp:lastModifiedBy>
  <cp:revision>3</cp:revision>
  <cp:lastPrinted>2021-08-17T13:30:00Z</cp:lastPrinted>
  <dcterms:created xsi:type="dcterms:W3CDTF">2021-09-02T18:35:00Z</dcterms:created>
  <dcterms:modified xsi:type="dcterms:W3CDTF">2021-09-02T18:41:00Z</dcterms:modified>
</cp:coreProperties>
</file>